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D48CC">
      <w:pPr>
        <w:rPr>
          <w:rFonts w:ascii="Times New Roman" w:hAnsi="Times New Roman" w:cs="Times New Roman"/>
          <w:b/>
          <w:sz w:val="32"/>
        </w:rPr>
      </w:pPr>
      <w:bookmarkStart w:id="0" w:name="_GoBack"/>
      <w:r w:rsidRPr="001D48CC">
        <w:rPr>
          <w:rFonts w:ascii="Times New Roman" w:hAnsi="Times New Roman" w:cs="Times New Roman"/>
          <w:b/>
          <w:sz w:val="32"/>
        </w:rPr>
        <w:t>Differential diagnosis of major depression disorder and bipolar disorder: Genetic and hormonal assessment and influence of early-life stress</w:t>
      </w:r>
    </w:p>
    <w:p w:rsidR="001D48CC" w:rsidRDefault="001D48CC">
      <w:pPr>
        <w:rPr>
          <w:rFonts w:ascii="Times New Roman" w:hAnsi="Times New Roman" w:cs="Times New Roman"/>
          <w:sz w:val="24"/>
        </w:rPr>
      </w:pPr>
      <w:proofErr w:type="spellStart"/>
      <w:r w:rsidRPr="001D48CC">
        <w:rPr>
          <w:rFonts w:ascii="Times New Roman" w:hAnsi="Times New Roman" w:cs="Times New Roman"/>
          <w:sz w:val="24"/>
        </w:rPr>
        <w:t>Itiana</w:t>
      </w:r>
      <w:proofErr w:type="spellEnd"/>
      <w:r w:rsidRPr="001D48CC">
        <w:rPr>
          <w:rFonts w:ascii="Times New Roman" w:hAnsi="Times New Roman" w:cs="Times New Roman"/>
          <w:sz w:val="24"/>
        </w:rPr>
        <w:t xml:space="preserve"> C </w:t>
      </w:r>
      <w:proofErr w:type="spellStart"/>
      <w:r w:rsidRPr="001D48CC">
        <w:rPr>
          <w:rFonts w:ascii="Times New Roman" w:hAnsi="Times New Roman" w:cs="Times New Roman"/>
          <w:sz w:val="24"/>
        </w:rPr>
        <w:t>Menezes</w:t>
      </w:r>
      <w:proofErr w:type="spellEnd"/>
    </w:p>
    <w:p w:rsidR="001D48CC" w:rsidRPr="001D48CC" w:rsidRDefault="001D48CC">
      <w:pPr>
        <w:rPr>
          <w:rFonts w:ascii="Times New Roman" w:hAnsi="Times New Roman" w:cs="Times New Roman"/>
        </w:rPr>
      </w:pPr>
      <w:r w:rsidRPr="001D48CC">
        <w:rPr>
          <w:rFonts w:ascii="Times New Roman" w:hAnsi="Times New Roman" w:cs="Times New Roman"/>
        </w:rPr>
        <w:t>University of S</w:t>
      </w:r>
      <w:r>
        <w:rPr>
          <w:rFonts w:ascii="Times New Roman" w:hAnsi="Times New Roman" w:cs="Times New Roman"/>
        </w:rPr>
        <w:t>a</w:t>
      </w:r>
      <w:r w:rsidRPr="001D48CC">
        <w:rPr>
          <w:rFonts w:ascii="Times New Roman" w:hAnsi="Times New Roman" w:cs="Times New Roman"/>
        </w:rPr>
        <w:t>o Paulo, Brazil</w:t>
      </w:r>
    </w:p>
    <w:p w:rsidR="001D48CC" w:rsidRPr="001D48CC" w:rsidRDefault="001D48CC" w:rsidP="001D48CC">
      <w:pPr>
        <w:jc w:val="center"/>
        <w:rPr>
          <w:rFonts w:ascii="Times New Roman" w:hAnsi="Times New Roman" w:cs="Times New Roman"/>
          <w:b/>
          <w:sz w:val="24"/>
        </w:rPr>
      </w:pPr>
      <w:r w:rsidRPr="001D48CC">
        <w:rPr>
          <w:rFonts w:ascii="Times New Roman" w:hAnsi="Times New Roman" w:cs="Times New Roman"/>
          <w:b/>
          <w:sz w:val="24"/>
        </w:rPr>
        <w:t>Abstract</w:t>
      </w:r>
    </w:p>
    <w:p w:rsidR="001D48CC" w:rsidRPr="001D48CC" w:rsidRDefault="001D48CC" w:rsidP="001D48CC">
      <w:pPr>
        <w:jc w:val="both"/>
        <w:rPr>
          <w:rFonts w:ascii="Times New Roman" w:hAnsi="Times New Roman" w:cs="Times New Roman"/>
          <w:sz w:val="20"/>
        </w:rPr>
      </w:pPr>
      <w:r w:rsidRPr="001D48CC">
        <w:rPr>
          <w:rFonts w:ascii="Times New Roman" w:hAnsi="Times New Roman" w:cs="Times New Roman"/>
          <w:b/>
          <w:sz w:val="20"/>
        </w:rPr>
        <w:t>Introduction:</w:t>
      </w:r>
      <w:r w:rsidRPr="001D48CC">
        <w:rPr>
          <w:rFonts w:ascii="Times New Roman" w:hAnsi="Times New Roman" w:cs="Times New Roman"/>
          <w:sz w:val="20"/>
        </w:rPr>
        <w:t xml:space="preserve"> Few studies have assessed biomarkers for the differentiation of </w:t>
      </w:r>
      <w:r w:rsidRPr="001D48CC">
        <w:rPr>
          <w:rFonts w:ascii="Times New Roman" w:hAnsi="Times New Roman" w:cs="Times New Roman"/>
          <w:sz w:val="20"/>
        </w:rPr>
        <w:t xml:space="preserve">Major Depressive Disorder </w:t>
      </w:r>
      <w:r w:rsidRPr="001D48CC">
        <w:rPr>
          <w:rFonts w:ascii="Times New Roman" w:hAnsi="Times New Roman" w:cs="Times New Roman"/>
          <w:sz w:val="20"/>
        </w:rPr>
        <w:t xml:space="preserve">(MDD) and </w:t>
      </w:r>
      <w:r w:rsidRPr="001D48CC">
        <w:rPr>
          <w:rFonts w:ascii="Times New Roman" w:hAnsi="Times New Roman" w:cs="Times New Roman"/>
          <w:sz w:val="20"/>
        </w:rPr>
        <w:t xml:space="preserve">Bipolar Disorder </w:t>
      </w:r>
      <w:r w:rsidRPr="001D48CC">
        <w:rPr>
          <w:rFonts w:ascii="Times New Roman" w:hAnsi="Times New Roman" w:cs="Times New Roman"/>
          <w:sz w:val="20"/>
        </w:rPr>
        <w:t xml:space="preserve">(BD). However, some elements of depression such as hormones and receptors of the </w:t>
      </w:r>
      <w:r w:rsidRPr="001D48CC">
        <w:rPr>
          <w:rFonts w:ascii="Times New Roman" w:hAnsi="Times New Roman" w:cs="Times New Roman"/>
          <w:sz w:val="20"/>
        </w:rPr>
        <w:t>Renin–Angiotensin–Adrenal System</w:t>
      </w:r>
      <w:r w:rsidRPr="001D48CC">
        <w:rPr>
          <w:rFonts w:ascii="Times New Roman" w:hAnsi="Times New Roman" w:cs="Times New Roman"/>
          <w:sz w:val="20"/>
        </w:rPr>
        <w:t xml:space="preserve"> (RAAS), the </w:t>
      </w:r>
      <w:r w:rsidRPr="001D48CC">
        <w:rPr>
          <w:rFonts w:ascii="Times New Roman" w:hAnsi="Times New Roman" w:cs="Times New Roman"/>
          <w:sz w:val="20"/>
        </w:rPr>
        <w:t xml:space="preserve">Hypothalamus–Pituitary–Adrenal </w:t>
      </w:r>
      <w:r w:rsidRPr="001D48CC">
        <w:rPr>
          <w:rFonts w:ascii="Times New Roman" w:hAnsi="Times New Roman" w:cs="Times New Roman"/>
          <w:sz w:val="20"/>
        </w:rPr>
        <w:t xml:space="preserve">(HPA) axis, and history of </w:t>
      </w:r>
      <w:r w:rsidRPr="001D48CC">
        <w:rPr>
          <w:rFonts w:ascii="Times New Roman" w:hAnsi="Times New Roman" w:cs="Times New Roman"/>
          <w:sz w:val="20"/>
        </w:rPr>
        <w:t>Early-Life Stress</w:t>
      </w:r>
      <w:r w:rsidRPr="001D48CC">
        <w:rPr>
          <w:rFonts w:ascii="Times New Roman" w:hAnsi="Times New Roman" w:cs="Times New Roman"/>
          <w:sz w:val="20"/>
        </w:rPr>
        <w:t xml:space="preserve"> (ELS) could be considered for differential diagnosis. </w:t>
      </w:r>
    </w:p>
    <w:p w:rsidR="001D48CC" w:rsidRPr="001D48CC" w:rsidRDefault="001D48CC" w:rsidP="001D48CC">
      <w:pPr>
        <w:jc w:val="both"/>
        <w:rPr>
          <w:rFonts w:ascii="Times New Roman" w:hAnsi="Times New Roman" w:cs="Times New Roman"/>
          <w:sz w:val="20"/>
        </w:rPr>
      </w:pPr>
      <w:r w:rsidRPr="001D48CC">
        <w:rPr>
          <w:rFonts w:ascii="Times New Roman" w:hAnsi="Times New Roman" w:cs="Times New Roman"/>
          <w:b/>
          <w:sz w:val="20"/>
        </w:rPr>
        <w:t>Aim:</w:t>
      </w:r>
      <w:r w:rsidRPr="001D48CC">
        <w:rPr>
          <w:rFonts w:ascii="Times New Roman" w:hAnsi="Times New Roman" w:cs="Times New Roman"/>
          <w:sz w:val="20"/>
        </w:rPr>
        <w:t xml:space="preserve"> To assess aldosterone and cortisol levels, MR and GR gene polymorphisms, and ELS as potential biomarkers for differentiating MDD and BD. </w:t>
      </w:r>
    </w:p>
    <w:p w:rsidR="001D48CC" w:rsidRDefault="001D48CC" w:rsidP="001D48CC">
      <w:pPr>
        <w:jc w:val="both"/>
        <w:rPr>
          <w:rFonts w:ascii="Times New Roman" w:hAnsi="Times New Roman" w:cs="Times New Roman"/>
          <w:sz w:val="20"/>
        </w:rPr>
      </w:pPr>
      <w:r w:rsidRPr="001D48CC">
        <w:rPr>
          <w:rFonts w:ascii="Times New Roman" w:hAnsi="Times New Roman" w:cs="Times New Roman"/>
          <w:b/>
          <w:sz w:val="20"/>
        </w:rPr>
        <w:t xml:space="preserve">Material and </w:t>
      </w:r>
      <w:r w:rsidRPr="001D48CC">
        <w:rPr>
          <w:rFonts w:ascii="Times New Roman" w:hAnsi="Times New Roman" w:cs="Times New Roman"/>
          <w:b/>
          <w:sz w:val="20"/>
        </w:rPr>
        <w:t>methods</w:t>
      </w:r>
      <w:r w:rsidRPr="001D48CC">
        <w:rPr>
          <w:rFonts w:ascii="Times New Roman" w:hAnsi="Times New Roman" w:cs="Times New Roman"/>
          <w:b/>
          <w:sz w:val="20"/>
        </w:rPr>
        <w:t>:</w:t>
      </w:r>
      <w:r w:rsidRPr="001D48CC">
        <w:rPr>
          <w:rFonts w:ascii="Times New Roman" w:hAnsi="Times New Roman" w:cs="Times New Roman"/>
          <w:sz w:val="20"/>
        </w:rPr>
        <w:t xml:space="preserve"> Groups comprised samples for genetic, cortisol, and aldosterone analysis: healthy control (</w:t>
      </w:r>
      <w:r>
        <w:rPr>
          <w:rFonts w:ascii="Times New Roman" w:hAnsi="Times New Roman" w:cs="Times New Roman"/>
          <w:sz w:val="20"/>
        </w:rPr>
        <w:t>HC; n=</w:t>
      </w:r>
      <w:r w:rsidRPr="001D48CC">
        <w:rPr>
          <w:rFonts w:ascii="Times New Roman" w:hAnsi="Times New Roman" w:cs="Times New Roman"/>
          <w:sz w:val="20"/>
        </w:rPr>
        <w:t>113/97/103), MDD (n</w:t>
      </w:r>
      <w:r>
        <w:rPr>
          <w:rFonts w:ascii="Times New Roman" w:hAnsi="Times New Roman" w:cs="Times New Roman"/>
          <w:sz w:val="20"/>
        </w:rPr>
        <w:t>=78/69/67) and BD (n=</w:t>
      </w:r>
      <w:r w:rsidRPr="001D48CC">
        <w:rPr>
          <w:rFonts w:ascii="Times New Roman" w:hAnsi="Times New Roman" w:cs="Times New Roman"/>
          <w:sz w:val="20"/>
        </w:rPr>
        <w:t>82/68/65) subjects. Furthermore, all subjects</w:t>
      </w:r>
      <w:r w:rsidRPr="001D48CC">
        <w:rPr>
          <w:rFonts w:ascii="Times New Roman" w:hAnsi="Times New Roman" w:cs="Times New Roman"/>
          <w:sz w:val="20"/>
        </w:rPr>
        <w:t xml:space="preserve"> </w:t>
      </w:r>
      <w:r w:rsidRPr="001D48CC">
        <w:rPr>
          <w:rFonts w:ascii="Times New Roman" w:hAnsi="Times New Roman" w:cs="Times New Roman"/>
          <w:sz w:val="20"/>
        </w:rPr>
        <w:t>were assessed for diagnostic screen</w:t>
      </w:r>
      <w:r>
        <w:rPr>
          <w:rFonts w:ascii="Times New Roman" w:hAnsi="Times New Roman" w:cs="Times New Roman"/>
          <w:sz w:val="20"/>
        </w:rPr>
        <w:t>ing, the severity of depression</w:t>
      </w:r>
      <w:r w:rsidRPr="001D48CC">
        <w:rPr>
          <w:rFonts w:ascii="Times New Roman" w:hAnsi="Times New Roman" w:cs="Times New Roman"/>
          <w:sz w:val="20"/>
        </w:rPr>
        <w:t xml:space="preserve"> and history of ELS by applying</w:t>
      </w:r>
      <w:r w:rsidRPr="001D48CC">
        <w:rPr>
          <w:rFonts w:ascii="Times New Roman" w:hAnsi="Times New Roman" w:cs="Times New Roman"/>
          <w:sz w:val="20"/>
        </w:rPr>
        <w:t xml:space="preserve"> </w:t>
      </w:r>
      <w:r>
        <w:rPr>
          <w:rFonts w:ascii="Times New Roman" w:hAnsi="Times New Roman" w:cs="Times New Roman"/>
          <w:sz w:val="20"/>
        </w:rPr>
        <w:t>MINI-PLUS, GRID-HDRS and CTQ</w:t>
      </w:r>
      <w:r w:rsidRPr="001D48CC">
        <w:rPr>
          <w:rFonts w:ascii="Times New Roman" w:hAnsi="Times New Roman" w:cs="Times New Roman"/>
          <w:sz w:val="20"/>
        </w:rPr>
        <w:t xml:space="preserve"> respectively</w:t>
      </w:r>
      <w:r w:rsidR="00A96F1F">
        <w:rPr>
          <w:rFonts w:ascii="Times New Roman" w:hAnsi="Times New Roman" w:cs="Times New Roman"/>
          <w:sz w:val="20"/>
        </w:rPr>
        <w:t xml:space="preserve"> [Figure 1]</w:t>
      </w:r>
      <w:r w:rsidRPr="001D48CC">
        <w:rPr>
          <w:rFonts w:ascii="Times New Roman" w:hAnsi="Times New Roman" w:cs="Times New Roman"/>
          <w:sz w:val="20"/>
        </w:rPr>
        <w:t>. In addition, genotype and allelic frequencies of</w:t>
      </w:r>
      <w:r w:rsidRPr="001D48CC">
        <w:rPr>
          <w:rFonts w:ascii="Times New Roman" w:hAnsi="Times New Roman" w:cs="Times New Roman"/>
          <w:sz w:val="20"/>
        </w:rPr>
        <w:t xml:space="preserve"> </w:t>
      </w:r>
      <w:r w:rsidRPr="001D48CC">
        <w:rPr>
          <w:rFonts w:ascii="Times New Roman" w:hAnsi="Times New Roman" w:cs="Times New Roman"/>
          <w:sz w:val="20"/>
        </w:rPr>
        <w:t xml:space="preserve">GR (N363S, R22/23K and </w:t>
      </w:r>
      <w:proofErr w:type="spellStart"/>
      <w:r w:rsidRPr="001D48CC">
        <w:rPr>
          <w:rFonts w:ascii="Times New Roman" w:hAnsi="Times New Roman" w:cs="Times New Roman"/>
          <w:sz w:val="20"/>
        </w:rPr>
        <w:t>BclI</w:t>
      </w:r>
      <w:proofErr w:type="spellEnd"/>
      <w:r w:rsidRPr="001D48CC">
        <w:rPr>
          <w:rFonts w:ascii="Times New Roman" w:hAnsi="Times New Roman" w:cs="Times New Roman"/>
          <w:sz w:val="20"/>
        </w:rPr>
        <w:t xml:space="preserve">) and MR (MI180V and -2G/C) polymorphisms were evaluated </w:t>
      </w:r>
      <w:r w:rsidRPr="001D48CC">
        <w:rPr>
          <w:rFonts w:ascii="Times New Roman" w:hAnsi="Times New Roman" w:cs="Times New Roman"/>
          <w:i/>
          <w:sz w:val="20"/>
        </w:rPr>
        <w:t>via</w:t>
      </w:r>
      <w:r w:rsidRPr="001D48CC">
        <w:rPr>
          <w:rFonts w:ascii="Times New Roman" w:hAnsi="Times New Roman" w:cs="Times New Roman"/>
          <w:sz w:val="20"/>
        </w:rPr>
        <w:t xml:space="preserve"> </w:t>
      </w:r>
      <w:r w:rsidRPr="001D48CC">
        <w:rPr>
          <w:rFonts w:ascii="Times New Roman" w:hAnsi="Times New Roman" w:cs="Times New Roman"/>
          <w:sz w:val="20"/>
        </w:rPr>
        <w:t xml:space="preserve">PCR. </w:t>
      </w:r>
    </w:p>
    <w:p w:rsidR="00A96F1F" w:rsidRDefault="00A96F1F" w:rsidP="00A96F1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E924457" wp14:editId="1C5485C4">
            <wp:extent cx="2456815" cy="2072640"/>
            <wp:effectExtent l="0" t="0" r="63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56815" cy="2072640"/>
                    </a:xfrm>
                    <a:prstGeom prst="rect">
                      <a:avLst/>
                    </a:prstGeom>
                    <a:noFill/>
                  </pic:spPr>
                </pic:pic>
              </a:graphicData>
            </a:graphic>
          </wp:inline>
        </w:drawing>
      </w:r>
    </w:p>
    <w:p w:rsidR="00A96F1F" w:rsidRDefault="00A96F1F" w:rsidP="00A96F1F">
      <w:pPr>
        <w:jc w:val="center"/>
        <w:rPr>
          <w:rFonts w:ascii="Times New Roman" w:hAnsi="Times New Roman" w:cs="Times New Roman"/>
          <w:i/>
          <w:sz w:val="18"/>
        </w:rPr>
      </w:pPr>
      <w:proofErr w:type="gramStart"/>
      <w:r w:rsidRPr="00A96F1F">
        <w:rPr>
          <w:rFonts w:ascii="Times New Roman" w:hAnsi="Times New Roman" w:cs="Times New Roman"/>
          <w:b/>
          <w:i/>
          <w:sz w:val="18"/>
        </w:rPr>
        <w:t>Figure 1.</w:t>
      </w:r>
      <w:proofErr w:type="gramEnd"/>
      <w:r w:rsidRPr="00A96F1F">
        <w:rPr>
          <w:rFonts w:ascii="Times New Roman" w:hAnsi="Times New Roman" w:cs="Times New Roman"/>
          <w:i/>
          <w:sz w:val="18"/>
        </w:rPr>
        <w:t xml:space="preserve"> Mean depressive symptoms score of Major Depressive Disorder group according to MR -2G/C genotype.</w:t>
      </w:r>
    </w:p>
    <w:p w:rsidR="00A96F1F" w:rsidRPr="00A96F1F" w:rsidRDefault="00A96F1F" w:rsidP="00A96F1F">
      <w:pPr>
        <w:jc w:val="both"/>
        <w:rPr>
          <w:rFonts w:ascii="Times New Roman" w:hAnsi="Times New Roman" w:cs="Times New Roman"/>
          <w:sz w:val="20"/>
        </w:rPr>
      </w:pPr>
      <w:r w:rsidRPr="00A96F1F">
        <w:rPr>
          <w:rFonts w:ascii="Times New Roman" w:hAnsi="Times New Roman" w:cs="Times New Roman"/>
          <w:b/>
          <w:sz w:val="20"/>
        </w:rPr>
        <w:t>Results and conclusion:</w:t>
      </w:r>
      <w:r w:rsidRPr="00A96F1F">
        <w:rPr>
          <w:rFonts w:ascii="Times New Roman" w:hAnsi="Times New Roman" w:cs="Times New Roman"/>
          <w:sz w:val="20"/>
        </w:rPr>
        <w:t xml:space="preserve"> Our findings demonstrate that basal aldosterone levels may be a biomarker for differentiating BD and MDD. Furthermore, ELS affects the HPA axis in BD, cortisol may be considered a biomarker for distinguishing BD and MDD, but only in the absence of ELS and finally, history of ELS and MR-2G/C variant alleles are factors that contribute to the severity of depressive symptoms in MDD and BD</w:t>
      </w:r>
      <w:r>
        <w:rPr>
          <w:rFonts w:ascii="Times New Roman" w:hAnsi="Times New Roman" w:cs="Times New Roman"/>
          <w:sz w:val="20"/>
        </w:rPr>
        <w:t xml:space="preserve"> [Figure 2]</w:t>
      </w:r>
      <w:r w:rsidRPr="00A96F1F">
        <w:rPr>
          <w:rFonts w:ascii="Times New Roman" w:hAnsi="Times New Roman" w:cs="Times New Roman"/>
          <w:sz w:val="20"/>
        </w:rPr>
        <w:t>.</w:t>
      </w:r>
    </w:p>
    <w:p w:rsidR="00A96F1F" w:rsidRDefault="00A96F1F" w:rsidP="00A96F1F">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7B61B798" wp14:editId="6ECD4497">
            <wp:extent cx="2536190" cy="21456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36190" cy="2145665"/>
                    </a:xfrm>
                    <a:prstGeom prst="rect">
                      <a:avLst/>
                    </a:prstGeom>
                    <a:noFill/>
                  </pic:spPr>
                </pic:pic>
              </a:graphicData>
            </a:graphic>
          </wp:inline>
        </w:drawing>
      </w:r>
    </w:p>
    <w:p w:rsidR="00A96F1F" w:rsidRPr="00A96F1F" w:rsidRDefault="00A96F1F" w:rsidP="00A96F1F">
      <w:pPr>
        <w:jc w:val="center"/>
        <w:rPr>
          <w:rFonts w:ascii="Times New Roman" w:hAnsi="Times New Roman" w:cs="Times New Roman"/>
          <w:i/>
          <w:sz w:val="18"/>
        </w:rPr>
      </w:pPr>
      <w:proofErr w:type="gramStart"/>
      <w:r w:rsidRPr="00A96F1F">
        <w:rPr>
          <w:rFonts w:ascii="Times New Roman" w:hAnsi="Times New Roman" w:cs="Times New Roman"/>
          <w:b/>
          <w:i/>
          <w:sz w:val="18"/>
        </w:rPr>
        <w:t>Figure 2.</w:t>
      </w:r>
      <w:proofErr w:type="gramEnd"/>
      <w:r w:rsidRPr="00A96F1F">
        <w:rPr>
          <w:rFonts w:ascii="Times New Roman" w:hAnsi="Times New Roman" w:cs="Times New Roman"/>
          <w:i/>
          <w:sz w:val="18"/>
        </w:rPr>
        <w:t xml:space="preserve"> Aldosterone levels in healthy control (HC), Major Depressive Disorder (MDD) and Bipolar Disorder (BD) groups (log scale).</w:t>
      </w:r>
    </w:p>
    <w:p w:rsidR="00A96F1F" w:rsidRPr="00A96F1F" w:rsidRDefault="00A96F1F" w:rsidP="00A96F1F">
      <w:pPr>
        <w:rPr>
          <w:rFonts w:ascii="Times New Roman" w:hAnsi="Times New Roman" w:cs="Times New Roman"/>
          <w:b/>
          <w:sz w:val="24"/>
        </w:rPr>
      </w:pPr>
      <w:r w:rsidRPr="00A96F1F">
        <w:rPr>
          <w:rFonts w:ascii="Times New Roman" w:hAnsi="Times New Roman" w:cs="Times New Roman"/>
          <w:b/>
          <w:sz w:val="24"/>
        </w:rPr>
        <w:t>Biography</w:t>
      </w:r>
    </w:p>
    <w:p w:rsidR="00A96F1F" w:rsidRPr="001D48CC" w:rsidRDefault="00A96F1F" w:rsidP="00A96F1F">
      <w:pPr>
        <w:jc w:val="both"/>
        <w:rPr>
          <w:rFonts w:ascii="Times New Roman" w:hAnsi="Times New Roman" w:cs="Times New Roman"/>
          <w:sz w:val="20"/>
        </w:rPr>
      </w:pPr>
      <w:proofErr w:type="spellStart"/>
      <w:r w:rsidRPr="00A96F1F">
        <w:rPr>
          <w:rFonts w:ascii="Times New Roman" w:hAnsi="Times New Roman" w:cs="Times New Roman"/>
          <w:sz w:val="20"/>
        </w:rPr>
        <w:t>Itiana</w:t>
      </w:r>
      <w:proofErr w:type="spellEnd"/>
      <w:r w:rsidRPr="00A96F1F">
        <w:rPr>
          <w:rFonts w:ascii="Times New Roman" w:hAnsi="Times New Roman" w:cs="Times New Roman"/>
          <w:sz w:val="20"/>
        </w:rPr>
        <w:t xml:space="preserve"> C. </w:t>
      </w:r>
      <w:proofErr w:type="spellStart"/>
      <w:r w:rsidRPr="00A96F1F">
        <w:rPr>
          <w:rFonts w:ascii="Times New Roman" w:hAnsi="Times New Roman" w:cs="Times New Roman"/>
          <w:sz w:val="20"/>
        </w:rPr>
        <w:t>Menezes</w:t>
      </w:r>
      <w:proofErr w:type="spellEnd"/>
      <w:r w:rsidRPr="00A96F1F">
        <w:rPr>
          <w:rFonts w:ascii="Times New Roman" w:hAnsi="Times New Roman" w:cs="Times New Roman"/>
          <w:sz w:val="20"/>
        </w:rPr>
        <w:t xml:space="preserve"> is a Biomedical Scientist (Federal University of Health Sciences of Porto </w:t>
      </w:r>
      <w:proofErr w:type="spellStart"/>
      <w:r w:rsidRPr="00A96F1F">
        <w:rPr>
          <w:rFonts w:ascii="Times New Roman" w:hAnsi="Times New Roman" w:cs="Times New Roman"/>
          <w:sz w:val="20"/>
        </w:rPr>
        <w:t>Alegre</w:t>
      </w:r>
      <w:proofErr w:type="spellEnd"/>
      <w:r w:rsidRPr="00A96F1F">
        <w:rPr>
          <w:rFonts w:ascii="Times New Roman" w:hAnsi="Times New Roman" w:cs="Times New Roman"/>
          <w:sz w:val="20"/>
        </w:rPr>
        <w:t xml:space="preserve">, Brazil), Master in Neurosciences (Federal University of Rio Grande do </w:t>
      </w:r>
      <w:proofErr w:type="spellStart"/>
      <w:r w:rsidRPr="00A96F1F">
        <w:rPr>
          <w:rFonts w:ascii="Times New Roman" w:hAnsi="Times New Roman" w:cs="Times New Roman"/>
          <w:sz w:val="20"/>
        </w:rPr>
        <w:t>Sul</w:t>
      </w:r>
      <w:proofErr w:type="spellEnd"/>
      <w:r w:rsidRPr="00A96F1F">
        <w:rPr>
          <w:rFonts w:ascii="Times New Roman" w:hAnsi="Times New Roman" w:cs="Times New Roman"/>
          <w:sz w:val="20"/>
        </w:rPr>
        <w:t>, Brazil), and PhD in Mental Health (University of São Paulo, Brazil). Currently, she is an Assistant Teacher at CEFI Faculty (FACEFI, Brazil). She has been working with research in Neurosciences and Genetics since 2007. She has collaborated with research groups in Brazil, UK, and Poland. As well, she has published papers on neurosciences, genetics, and psychiatric field; and has been a referee of</w:t>
      </w:r>
      <w:r w:rsidR="00B855F0">
        <w:rPr>
          <w:rFonts w:ascii="Times New Roman" w:hAnsi="Times New Roman" w:cs="Times New Roman"/>
          <w:sz w:val="20"/>
        </w:rPr>
        <w:t xml:space="preserve"> </w:t>
      </w:r>
      <w:r w:rsidRPr="00A96F1F">
        <w:rPr>
          <w:rFonts w:ascii="Times New Roman" w:hAnsi="Times New Roman" w:cs="Times New Roman"/>
          <w:sz w:val="20"/>
        </w:rPr>
        <w:t>renowned scientific journals as BMC Psychiatry.</w:t>
      </w:r>
      <w:bookmarkEnd w:id="0"/>
    </w:p>
    <w:sectPr w:rsidR="00A96F1F" w:rsidRPr="001D48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8CC"/>
    <w:rsid w:val="001D48CC"/>
    <w:rsid w:val="00474203"/>
    <w:rsid w:val="00535872"/>
    <w:rsid w:val="00924B33"/>
    <w:rsid w:val="00A96F1F"/>
    <w:rsid w:val="00B85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48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8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48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8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2022-11-23T12:40:00Z</dcterms:created>
  <dcterms:modified xsi:type="dcterms:W3CDTF">2022-11-23T13:41:00Z</dcterms:modified>
</cp:coreProperties>
</file>