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C5B" w:rsidRDefault="00110152" w:rsidP="00110152">
      <w:pPr>
        <w:jc w:val="both"/>
        <w:rPr>
          <w:rFonts w:ascii="Times New Roman" w:hAnsi="Times New Roman" w:cs="Times New Roman"/>
          <w:b/>
          <w:sz w:val="32"/>
          <w:szCs w:val="32"/>
        </w:rPr>
      </w:pPr>
      <w:r w:rsidRPr="00110152">
        <w:rPr>
          <w:rFonts w:ascii="Times New Roman" w:hAnsi="Times New Roman" w:cs="Times New Roman"/>
          <w:b/>
          <w:sz w:val="32"/>
          <w:szCs w:val="32"/>
        </w:rPr>
        <w:t xml:space="preserve">Integration of in vitro </w:t>
      </w:r>
      <w:proofErr w:type="spellStart"/>
      <w:r w:rsidRPr="00110152">
        <w:rPr>
          <w:rFonts w:ascii="Times New Roman" w:hAnsi="Times New Roman" w:cs="Times New Roman"/>
          <w:b/>
          <w:sz w:val="32"/>
          <w:szCs w:val="32"/>
        </w:rPr>
        <w:t>biorelevant</w:t>
      </w:r>
      <w:proofErr w:type="spellEnd"/>
      <w:r w:rsidRPr="00110152">
        <w:rPr>
          <w:rFonts w:ascii="Times New Roman" w:hAnsi="Times New Roman" w:cs="Times New Roman"/>
          <w:b/>
          <w:sz w:val="32"/>
          <w:szCs w:val="32"/>
        </w:rPr>
        <w:t xml:space="preserve"> dissolution and in vivo bioequivalence study to in </w:t>
      </w:r>
      <w:proofErr w:type="spellStart"/>
      <w:r w:rsidRPr="00110152">
        <w:rPr>
          <w:rFonts w:ascii="Times New Roman" w:hAnsi="Times New Roman" w:cs="Times New Roman"/>
          <w:b/>
          <w:sz w:val="32"/>
          <w:szCs w:val="32"/>
        </w:rPr>
        <w:t>silico</w:t>
      </w:r>
      <w:proofErr w:type="spellEnd"/>
      <w:r w:rsidRPr="00110152">
        <w:rPr>
          <w:rFonts w:ascii="Times New Roman" w:hAnsi="Times New Roman" w:cs="Times New Roman"/>
          <w:b/>
          <w:sz w:val="32"/>
          <w:szCs w:val="32"/>
        </w:rPr>
        <w:t xml:space="preserve"> PBPK </w:t>
      </w:r>
      <w:proofErr w:type="spellStart"/>
      <w:r w:rsidRPr="00110152">
        <w:rPr>
          <w:rFonts w:ascii="Times New Roman" w:hAnsi="Times New Roman" w:cs="Times New Roman"/>
          <w:b/>
          <w:sz w:val="32"/>
          <w:szCs w:val="32"/>
        </w:rPr>
        <w:t>modeling</w:t>
      </w:r>
      <w:proofErr w:type="spellEnd"/>
      <w:r w:rsidRPr="00110152">
        <w:rPr>
          <w:rFonts w:ascii="Times New Roman" w:hAnsi="Times New Roman" w:cs="Times New Roman"/>
          <w:b/>
          <w:sz w:val="32"/>
          <w:szCs w:val="32"/>
        </w:rPr>
        <w:t xml:space="preserve"> of furosemide oral formulations to predict bioequivalence in dogs by PBBM approach.</w:t>
      </w:r>
    </w:p>
    <w:p w:rsidR="00110152" w:rsidRPr="00110152" w:rsidRDefault="00110152" w:rsidP="00110152">
      <w:pPr>
        <w:jc w:val="both"/>
        <w:rPr>
          <w:rFonts w:ascii="Times New Roman" w:hAnsi="Times New Roman" w:cs="Times New Roman"/>
          <w:sz w:val="24"/>
          <w:szCs w:val="24"/>
        </w:rPr>
      </w:pPr>
      <w:bookmarkStart w:id="0" w:name="_GoBack"/>
      <w:r w:rsidRPr="00110152">
        <w:rPr>
          <w:rFonts w:ascii="Times New Roman" w:hAnsi="Times New Roman" w:cs="Times New Roman"/>
          <w:sz w:val="24"/>
          <w:szCs w:val="24"/>
        </w:rPr>
        <w:t xml:space="preserve">Cristian </w:t>
      </w:r>
      <w:proofErr w:type="spellStart"/>
      <w:r w:rsidRPr="00110152">
        <w:rPr>
          <w:rFonts w:ascii="Times New Roman" w:hAnsi="Times New Roman" w:cs="Times New Roman"/>
          <w:sz w:val="24"/>
          <w:szCs w:val="24"/>
        </w:rPr>
        <w:t>Valiante</w:t>
      </w:r>
      <w:bookmarkEnd w:id="0"/>
      <w:proofErr w:type="spellEnd"/>
    </w:p>
    <w:p w:rsidR="00110152" w:rsidRDefault="00110152" w:rsidP="00110152">
      <w:pPr>
        <w:jc w:val="both"/>
        <w:rPr>
          <w:rFonts w:ascii="Times New Roman" w:hAnsi="Times New Roman" w:cs="Times New Roman"/>
          <w:sz w:val="24"/>
          <w:szCs w:val="24"/>
        </w:rPr>
      </w:pPr>
      <w:r w:rsidRPr="00110152">
        <w:rPr>
          <w:rFonts w:ascii="Times New Roman" w:hAnsi="Times New Roman" w:cs="Times New Roman"/>
          <w:sz w:val="24"/>
          <w:szCs w:val="24"/>
        </w:rPr>
        <w:t xml:space="preserve">Universidad de la </w:t>
      </w:r>
      <w:proofErr w:type="spellStart"/>
      <w:r w:rsidRPr="00110152">
        <w:rPr>
          <w:rFonts w:ascii="Times New Roman" w:hAnsi="Times New Roman" w:cs="Times New Roman"/>
          <w:sz w:val="24"/>
          <w:szCs w:val="24"/>
        </w:rPr>
        <w:t>República</w:t>
      </w:r>
      <w:proofErr w:type="spellEnd"/>
      <w:r w:rsidRPr="00110152">
        <w:rPr>
          <w:rFonts w:ascii="Times New Roman" w:hAnsi="Times New Roman" w:cs="Times New Roman"/>
          <w:sz w:val="24"/>
          <w:szCs w:val="24"/>
        </w:rPr>
        <w:t xml:space="preserve"> (</w:t>
      </w:r>
      <w:proofErr w:type="spellStart"/>
      <w:r w:rsidRPr="00110152">
        <w:rPr>
          <w:rFonts w:ascii="Times New Roman" w:hAnsi="Times New Roman" w:cs="Times New Roman"/>
          <w:sz w:val="24"/>
          <w:szCs w:val="24"/>
        </w:rPr>
        <w:t>UdelaR</w:t>
      </w:r>
      <w:proofErr w:type="spellEnd"/>
      <w:r w:rsidRPr="00110152">
        <w:rPr>
          <w:rFonts w:ascii="Times New Roman" w:hAnsi="Times New Roman" w:cs="Times New Roman"/>
          <w:sz w:val="24"/>
          <w:szCs w:val="24"/>
        </w:rPr>
        <w:t>). Montevideo, Uruguay.</w:t>
      </w:r>
    </w:p>
    <w:p w:rsidR="00110152" w:rsidRPr="00110152" w:rsidRDefault="00110152" w:rsidP="00110152">
      <w:pPr>
        <w:jc w:val="both"/>
        <w:rPr>
          <w:rFonts w:ascii="Times New Roman" w:hAnsi="Times New Roman" w:cs="Times New Roman"/>
          <w:b/>
          <w:sz w:val="24"/>
          <w:szCs w:val="24"/>
        </w:rPr>
      </w:pPr>
      <w:r w:rsidRPr="00110152">
        <w:rPr>
          <w:rFonts w:ascii="Times New Roman" w:hAnsi="Times New Roman" w:cs="Times New Roman"/>
          <w:b/>
          <w:sz w:val="24"/>
          <w:szCs w:val="24"/>
        </w:rPr>
        <w:t>Abstract:</w:t>
      </w:r>
    </w:p>
    <w:p w:rsidR="00110152" w:rsidRDefault="00110152" w:rsidP="00110152">
      <w:pPr>
        <w:jc w:val="both"/>
        <w:rPr>
          <w:rFonts w:ascii="Times New Roman" w:hAnsi="Times New Roman" w:cs="Times New Roman"/>
          <w:sz w:val="24"/>
          <w:szCs w:val="24"/>
        </w:rPr>
      </w:pPr>
      <w:r w:rsidRPr="00110152">
        <w:rPr>
          <w:rFonts w:ascii="Times New Roman" w:hAnsi="Times New Roman" w:cs="Times New Roman"/>
          <w:sz w:val="24"/>
          <w:szCs w:val="24"/>
        </w:rPr>
        <w:t xml:space="preserve">In Uruguayan veterinary medicine there is currently no regulation that ensures the biopharmaceutical quality of the products that are presented at the pharmaceutical market. Furosemide is widely used in </w:t>
      </w:r>
      <w:proofErr w:type="spellStart"/>
      <w:r w:rsidRPr="00110152">
        <w:rPr>
          <w:rFonts w:ascii="Times New Roman" w:hAnsi="Times New Roman" w:cs="Times New Roman"/>
          <w:sz w:val="24"/>
          <w:szCs w:val="24"/>
        </w:rPr>
        <w:t>cardiological</w:t>
      </w:r>
      <w:proofErr w:type="spellEnd"/>
      <w:r w:rsidRPr="00110152">
        <w:rPr>
          <w:rFonts w:ascii="Times New Roman" w:hAnsi="Times New Roman" w:cs="Times New Roman"/>
          <w:sz w:val="24"/>
          <w:szCs w:val="24"/>
        </w:rPr>
        <w:t xml:space="preserve"> therapies in canines (</w:t>
      </w:r>
      <w:proofErr w:type="spellStart"/>
      <w:r w:rsidRPr="00110152">
        <w:rPr>
          <w:rFonts w:ascii="Times New Roman" w:hAnsi="Times New Roman" w:cs="Times New Roman"/>
          <w:sz w:val="24"/>
          <w:szCs w:val="24"/>
        </w:rPr>
        <w:t>Bikdeli</w:t>
      </w:r>
      <w:proofErr w:type="spellEnd"/>
      <w:r w:rsidRPr="00110152">
        <w:rPr>
          <w:rFonts w:ascii="Times New Roman" w:hAnsi="Times New Roman" w:cs="Times New Roman"/>
          <w:sz w:val="24"/>
          <w:szCs w:val="24"/>
        </w:rPr>
        <w:t xml:space="preserve"> et al., 2013), however there is a lack of knowledge regarding the dose-exposure-response relationship and the impact of multi-source drug products with no bioequivalence evaluation. In this work, we aimed to predict the relative bioavailability between two furosemide oral local products available for use in dogs by means of physiologically based biopharmaceutics </w:t>
      </w:r>
      <w:proofErr w:type="spellStart"/>
      <w:r w:rsidRPr="00110152">
        <w:rPr>
          <w:rFonts w:ascii="Times New Roman" w:hAnsi="Times New Roman" w:cs="Times New Roman"/>
          <w:sz w:val="24"/>
          <w:szCs w:val="24"/>
        </w:rPr>
        <w:t>modeling</w:t>
      </w:r>
      <w:proofErr w:type="spellEnd"/>
      <w:r w:rsidRPr="00110152">
        <w:rPr>
          <w:rFonts w:ascii="Times New Roman" w:hAnsi="Times New Roman" w:cs="Times New Roman"/>
          <w:sz w:val="24"/>
          <w:szCs w:val="24"/>
        </w:rPr>
        <w:t xml:space="preserve"> (PBBM), integrating formulation-related parameters estimated through in vitro dissolution testing in a PBPK model (Ibarra et al., 2019; Lu et al., 2017). Further, the model predictions were validated with a bioequivalence study in healthy dogs (n=6). A previously reported furosemide PBPK model for humans (</w:t>
      </w:r>
      <w:proofErr w:type="spellStart"/>
      <w:r w:rsidRPr="00110152">
        <w:rPr>
          <w:rFonts w:ascii="Times New Roman" w:hAnsi="Times New Roman" w:cs="Times New Roman"/>
          <w:sz w:val="24"/>
          <w:szCs w:val="24"/>
        </w:rPr>
        <w:t>Britz</w:t>
      </w:r>
      <w:proofErr w:type="spellEnd"/>
      <w:r w:rsidRPr="00110152">
        <w:rPr>
          <w:rFonts w:ascii="Times New Roman" w:hAnsi="Times New Roman" w:cs="Times New Roman"/>
          <w:sz w:val="24"/>
          <w:szCs w:val="24"/>
        </w:rPr>
        <w:t xml:space="preserve"> et al., 2020) was adapted to dogs in PK-Sim® and </w:t>
      </w:r>
      <w:proofErr w:type="spellStart"/>
      <w:r w:rsidRPr="00110152">
        <w:rPr>
          <w:rFonts w:ascii="Times New Roman" w:hAnsi="Times New Roman" w:cs="Times New Roman"/>
          <w:sz w:val="24"/>
          <w:szCs w:val="24"/>
        </w:rPr>
        <w:t>MoBi</w:t>
      </w:r>
      <w:proofErr w:type="spellEnd"/>
      <w:r w:rsidRPr="00110152">
        <w:rPr>
          <w:rFonts w:ascii="Times New Roman" w:hAnsi="Times New Roman" w:cs="Times New Roman"/>
          <w:sz w:val="24"/>
          <w:szCs w:val="24"/>
        </w:rPr>
        <w:t>® (Open Systems Pharmacology) using literature pharmacokinetic data in plasma and urine after intravenous and oral administration (</w:t>
      </w:r>
      <w:proofErr w:type="spellStart"/>
      <w:r w:rsidRPr="00110152">
        <w:rPr>
          <w:rFonts w:ascii="Times New Roman" w:hAnsi="Times New Roman" w:cs="Times New Roman"/>
          <w:sz w:val="24"/>
          <w:szCs w:val="24"/>
        </w:rPr>
        <w:t>Koh</w:t>
      </w:r>
      <w:proofErr w:type="spellEnd"/>
      <w:r w:rsidRPr="00110152">
        <w:rPr>
          <w:rFonts w:ascii="Times New Roman" w:hAnsi="Times New Roman" w:cs="Times New Roman"/>
          <w:sz w:val="24"/>
          <w:szCs w:val="24"/>
        </w:rPr>
        <w:t xml:space="preserve"> et al., 2021; Lee et al., 1986). Model was optimized including a concentration-dependent increase in renal blood flow, affecting furosemide renal excretion. Dissolution profiles from two local products obtained in </w:t>
      </w:r>
      <w:proofErr w:type="spellStart"/>
      <w:r w:rsidRPr="00110152">
        <w:rPr>
          <w:rFonts w:ascii="Times New Roman" w:hAnsi="Times New Roman" w:cs="Times New Roman"/>
          <w:sz w:val="24"/>
          <w:szCs w:val="24"/>
        </w:rPr>
        <w:t>biorelevant</w:t>
      </w:r>
      <w:proofErr w:type="spellEnd"/>
      <w:r w:rsidRPr="00110152">
        <w:rPr>
          <w:rFonts w:ascii="Times New Roman" w:hAnsi="Times New Roman" w:cs="Times New Roman"/>
          <w:sz w:val="24"/>
          <w:szCs w:val="24"/>
        </w:rPr>
        <w:t xml:space="preserve"> conditions were fitted with a </w:t>
      </w:r>
      <w:proofErr w:type="spellStart"/>
      <w:r w:rsidRPr="00110152">
        <w:rPr>
          <w:rFonts w:ascii="Times New Roman" w:hAnsi="Times New Roman" w:cs="Times New Roman"/>
          <w:sz w:val="24"/>
          <w:szCs w:val="24"/>
        </w:rPr>
        <w:t>gompertz</w:t>
      </w:r>
      <w:proofErr w:type="spellEnd"/>
      <w:r w:rsidRPr="00110152">
        <w:rPr>
          <w:rFonts w:ascii="Times New Roman" w:hAnsi="Times New Roman" w:cs="Times New Roman"/>
          <w:sz w:val="24"/>
          <w:szCs w:val="24"/>
        </w:rPr>
        <w:t xml:space="preserve"> model and included in the PBPK model to describe drug dissolution. Single-dose furosemide </w:t>
      </w:r>
      <w:proofErr w:type="spellStart"/>
      <w:r w:rsidRPr="00110152">
        <w:rPr>
          <w:rFonts w:ascii="Times New Roman" w:hAnsi="Times New Roman" w:cs="Times New Roman"/>
          <w:sz w:val="24"/>
          <w:szCs w:val="24"/>
        </w:rPr>
        <w:t>Cmax</w:t>
      </w:r>
      <w:proofErr w:type="spellEnd"/>
      <w:r w:rsidRPr="00110152">
        <w:rPr>
          <w:rFonts w:ascii="Times New Roman" w:hAnsi="Times New Roman" w:cs="Times New Roman"/>
          <w:sz w:val="24"/>
          <w:szCs w:val="24"/>
        </w:rPr>
        <w:t xml:space="preserve"> and AUC for both formulations were predicted with a relative bias below 20%. The PBBM approach predicted adequately furosemide pharmacokinetics and the relative product performance in dogs and has been shown in this research to be an effective tool that can be used by laboratories in the pharmaceutical industry and by state agencies in charge of pharmaceutical regulation of veterinary products. An alternative method to the clinical trial was developed that can make predictions with an adequate level of confidence and markedly lower requirements for infrastructure and research resources.</w:t>
      </w:r>
    </w:p>
    <w:p w:rsidR="00110152" w:rsidRDefault="00110152" w:rsidP="00110152">
      <w:pPr>
        <w:jc w:val="both"/>
        <w:rPr>
          <w:rFonts w:ascii="Times New Roman" w:hAnsi="Times New Roman" w:cs="Times New Roman"/>
          <w:b/>
          <w:sz w:val="24"/>
          <w:szCs w:val="24"/>
        </w:rPr>
      </w:pPr>
      <w:r w:rsidRPr="00110152">
        <w:rPr>
          <w:rFonts w:ascii="Times New Roman" w:hAnsi="Times New Roman" w:cs="Times New Roman"/>
          <w:b/>
          <w:sz w:val="24"/>
          <w:szCs w:val="24"/>
        </w:rPr>
        <w:t>Image:</w:t>
      </w:r>
    </w:p>
    <w:p w:rsidR="00110152" w:rsidRDefault="00110152" w:rsidP="00110152">
      <w:pPr>
        <w:jc w:val="center"/>
        <w:rPr>
          <w:rFonts w:ascii="Times New Roman" w:hAnsi="Times New Roman" w:cs="Times New Roman"/>
          <w:b/>
          <w:sz w:val="24"/>
          <w:szCs w:val="24"/>
        </w:rPr>
      </w:pPr>
      <w:r>
        <w:rPr>
          <w:noProof/>
          <w:lang w:eastAsia="en-IN"/>
        </w:rPr>
        <w:drawing>
          <wp:inline distT="0" distB="0" distL="0" distR="0" wp14:anchorId="1423BB33" wp14:editId="39D13FBC">
            <wp:extent cx="3589773" cy="1447800"/>
            <wp:effectExtent l="0" t="0" r="0" b="0"/>
            <wp:docPr id="30" name="Imagen 3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Diagrama&#10;&#10;Descripción generada automáticamente"/>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10313" cy="1456084"/>
                    </a:xfrm>
                    <a:prstGeom prst="rect">
                      <a:avLst/>
                    </a:prstGeom>
                    <a:noFill/>
                    <a:ln>
                      <a:noFill/>
                    </a:ln>
                  </pic:spPr>
                </pic:pic>
              </a:graphicData>
            </a:graphic>
          </wp:inline>
        </w:drawing>
      </w:r>
    </w:p>
    <w:p w:rsidR="00110152" w:rsidRDefault="00110152" w:rsidP="00110152">
      <w:pPr>
        <w:jc w:val="center"/>
        <w:rPr>
          <w:rFonts w:ascii="Times New Roman" w:hAnsi="Times New Roman" w:cs="Times New Roman"/>
          <w:sz w:val="24"/>
          <w:szCs w:val="24"/>
        </w:rPr>
      </w:pPr>
      <w:r w:rsidRPr="00110152">
        <w:rPr>
          <w:rFonts w:ascii="Times New Roman" w:hAnsi="Times New Roman" w:cs="Times New Roman"/>
          <w:sz w:val="24"/>
          <w:szCs w:val="24"/>
        </w:rPr>
        <w:t>Figure 1. Furosemide quantitative mass balance diagram after oral administration.</w:t>
      </w:r>
    </w:p>
    <w:p w:rsidR="00110152" w:rsidRDefault="00110152" w:rsidP="00110152">
      <w:pPr>
        <w:jc w:val="center"/>
        <w:rPr>
          <w:rFonts w:ascii="Times New Roman" w:hAnsi="Times New Roman" w:cs="Times New Roman"/>
          <w:sz w:val="24"/>
          <w:szCs w:val="24"/>
        </w:rPr>
      </w:pPr>
    </w:p>
    <w:p w:rsidR="00110152" w:rsidRDefault="00110152" w:rsidP="00110152">
      <w:pPr>
        <w:jc w:val="both"/>
        <w:rPr>
          <w:rFonts w:ascii="Times New Roman" w:hAnsi="Times New Roman" w:cs="Times New Roman"/>
          <w:b/>
          <w:sz w:val="24"/>
          <w:szCs w:val="24"/>
        </w:rPr>
      </w:pPr>
      <w:r w:rsidRPr="00110152">
        <w:rPr>
          <w:rFonts w:ascii="Times New Roman" w:hAnsi="Times New Roman" w:cs="Times New Roman"/>
          <w:b/>
          <w:sz w:val="24"/>
          <w:szCs w:val="24"/>
        </w:rPr>
        <w:lastRenderedPageBreak/>
        <w:t>Biography:</w:t>
      </w:r>
    </w:p>
    <w:p w:rsidR="00110152" w:rsidRPr="00110152" w:rsidRDefault="00110152" w:rsidP="00110152">
      <w:pPr>
        <w:jc w:val="both"/>
        <w:rPr>
          <w:rFonts w:ascii="Times New Roman" w:hAnsi="Times New Roman" w:cs="Times New Roman"/>
          <w:sz w:val="24"/>
          <w:szCs w:val="24"/>
        </w:rPr>
      </w:pPr>
      <w:r w:rsidRPr="00110152">
        <w:rPr>
          <w:rFonts w:ascii="Times New Roman" w:hAnsi="Times New Roman" w:cs="Times New Roman"/>
          <w:sz w:val="24"/>
          <w:szCs w:val="24"/>
        </w:rPr>
        <w:t xml:space="preserve">Cristian is a graduated </w:t>
      </w:r>
      <w:proofErr w:type="spellStart"/>
      <w:r w:rsidRPr="00110152">
        <w:rPr>
          <w:rFonts w:ascii="Times New Roman" w:hAnsi="Times New Roman" w:cs="Times New Roman"/>
          <w:sz w:val="24"/>
          <w:szCs w:val="24"/>
        </w:rPr>
        <w:t>italian</w:t>
      </w:r>
      <w:proofErr w:type="spellEnd"/>
      <w:r w:rsidRPr="00110152">
        <w:rPr>
          <w:rFonts w:ascii="Times New Roman" w:hAnsi="Times New Roman" w:cs="Times New Roman"/>
          <w:sz w:val="24"/>
          <w:szCs w:val="24"/>
        </w:rPr>
        <w:t xml:space="preserve"> pharmacist and scientist by training, passion and vocation. He has a Master of Science (MSc.) in Pharmaceutical Sciences with strong experience and specialization in Clinical Research. He is a highly motivated and outgoing person with a genuine passion for scientific excellence in pharmacology and pharmacy. Cristian works with perseverance and dedication and enjoys teamwork and multidisciplinary research. He has specialized over the years in clinical pharmacology and pharmacokinetic and </w:t>
      </w:r>
      <w:proofErr w:type="spellStart"/>
      <w:r w:rsidRPr="00110152">
        <w:rPr>
          <w:rFonts w:ascii="Times New Roman" w:hAnsi="Times New Roman" w:cs="Times New Roman"/>
          <w:sz w:val="24"/>
          <w:szCs w:val="24"/>
        </w:rPr>
        <w:t>pharmacodynamic</w:t>
      </w:r>
      <w:proofErr w:type="spellEnd"/>
      <w:r w:rsidRPr="00110152">
        <w:rPr>
          <w:rFonts w:ascii="Times New Roman" w:hAnsi="Times New Roman" w:cs="Times New Roman"/>
          <w:sz w:val="24"/>
          <w:szCs w:val="24"/>
        </w:rPr>
        <w:t xml:space="preserve"> </w:t>
      </w:r>
      <w:proofErr w:type="spellStart"/>
      <w:r w:rsidRPr="00110152">
        <w:rPr>
          <w:rFonts w:ascii="Times New Roman" w:hAnsi="Times New Roman" w:cs="Times New Roman"/>
          <w:sz w:val="24"/>
          <w:szCs w:val="24"/>
        </w:rPr>
        <w:t>modeling</w:t>
      </w:r>
      <w:proofErr w:type="spellEnd"/>
      <w:r w:rsidRPr="00110152">
        <w:rPr>
          <w:rFonts w:ascii="Times New Roman" w:hAnsi="Times New Roman" w:cs="Times New Roman"/>
          <w:sz w:val="24"/>
          <w:szCs w:val="24"/>
        </w:rPr>
        <w:t xml:space="preserve"> in animal and human species (adult and </w:t>
      </w:r>
      <w:proofErr w:type="spellStart"/>
      <w:r w:rsidRPr="00110152">
        <w:rPr>
          <w:rFonts w:ascii="Times New Roman" w:hAnsi="Times New Roman" w:cs="Times New Roman"/>
          <w:sz w:val="24"/>
          <w:szCs w:val="24"/>
        </w:rPr>
        <w:t>pediatric</w:t>
      </w:r>
      <w:proofErr w:type="spellEnd"/>
      <w:r w:rsidRPr="00110152">
        <w:rPr>
          <w:rFonts w:ascii="Times New Roman" w:hAnsi="Times New Roman" w:cs="Times New Roman"/>
          <w:sz w:val="24"/>
          <w:szCs w:val="24"/>
        </w:rPr>
        <w:t xml:space="preserve"> population)</w:t>
      </w:r>
    </w:p>
    <w:sectPr w:rsidR="00110152" w:rsidRPr="001101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152"/>
    <w:rsid w:val="00110152"/>
    <w:rsid w:val="00AA411C"/>
    <w:rsid w:val="00EB60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96A3C"/>
  <w15:chartTrackingRefBased/>
  <w15:docId w15:val="{ECF4018C-0C64-415D-A507-C55D100C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Pharmaceutical Chemistry 2021</dc:creator>
  <cp:keywords/>
  <dc:description/>
  <cp:lastModifiedBy>Pharmaceutical Chemistry 2021</cp:lastModifiedBy>
  <cp:revision>1</cp:revision>
  <dcterms:created xsi:type="dcterms:W3CDTF">2023-07-24T05:21:00Z</dcterms:created>
  <dcterms:modified xsi:type="dcterms:W3CDTF">2023-07-24T05:25:00Z</dcterms:modified>
</cp:coreProperties>
</file>