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drawings/drawing1.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7359E" w:rsidP="00A7359E">
      <w:pPr>
        <w:pStyle w:val="Heading1"/>
        <w:spacing w:before="170"/>
        <w:ind w:left="0"/>
        <w:jc w:val="both"/>
      </w:pPr>
      <w:bookmarkStart w:id="0" w:name="_GoBack"/>
      <w:bookmarkEnd w:id="0"/>
      <w:r>
        <w:rPr>
          <w:color w:val="337AB7"/>
        </w:rPr>
        <w:t xml:space="preserve">Right anterior minithoracotomy vs. conventional median sternotomy in surgical </w:t>
      </w:r>
      <w:proofErr w:type="spellStart"/>
      <w:r>
        <w:rPr>
          <w:color w:val="337AB7"/>
        </w:rPr>
        <w:t>ostium</w:t>
      </w:r>
      <w:proofErr w:type="spellEnd"/>
      <w:r>
        <w:rPr>
          <w:color w:val="337AB7"/>
        </w:rPr>
        <w:t xml:space="preserve"> </w:t>
      </w:r>
      <w:proofErr w:type="spellStart"/>
      <w:r>
        <w:rPr>
          <w:color w:val="337AB7"/>
        </w:rPr>
        <w:t>secundum</w:t>
      </w:r>
      <w:proofErr w:type="spellEnd"/>
      <w:r>
        <w:rPr>
          <w:color w:val="337AB7"/>
        </w:rPr>
        <w:t xml:space="preserve"> atrial </w:t>
      </w:r>
      <w:proofErr w:type="spellStart"/>
      <w:r>
        <w:rPr>
          <w:color w:val="337AB7"/>
        </w:rPr>
        <w:t>septal</w:t>
      </w:r>
      <w:proofErr w:type="spellEnd"/>
      <w:r>
        <w:rPr>
          <w:color w:val="337AB7"/>
        </w:rPr>
        <w:t xml:space="preserve"> defect closure: Assessment of clinical outcomes and health-related quality of life</w:t>
      </w:r>
    </w:p>
    <w:p w:rsidR="00B33B39" w:rsidRDefault="00B33B39" w:rsidP="005973B9">
      <w:pPr>
        <w:pStyle w:val="BodyText"/>
        <w:spacing w:before="73" w:line="198" w:lineRule="exact"/>
        <w:ind w:left="100" w:right="5987"/>
        <w:rPr>
          <w:rFonts w:ascii="Arial"/>
        </w:rPr>
      </w:pPr>
      <w:r>
        <w:rPr>
          <w:rFonts w:ascii="Arial"/>
        </w:rPr>
        <w:t xml:space="preserve">Amir </w:t>
      </w:r>
      <w:proofErr w:type="spellStart"/>
      <w:r>
        <w:rPr>
          <w:rFonts w:ascii="Arial"/>
        </w:rPr>
        <w:t>Mirmohammadsadeghi</w:t>
      </w:r>
      <w:proofErr w:type="spellEnd"/>
      <w:r>
        <w:rPr>
          <w:rFonts w:ascii="Arial"/>
        </w:rPr>
        <w:t>, MD, IUMS, Iran</w:t>
      </w:r>
    </w:p>
    <w:p w:rsidR="00B33B39" w:rsidRDefault="00B33B39" w:rsidP="00B33B39">
      <w:pPr>
        <w:pStyle w:val="BodyText"/>
        <w:spacing w:before="73" w:line="198" w:lineRule="exact"/>
        <w:ind w:left="100" w:right="5987"/>
        <w:rPr>
          <w:rFonts w:ascii="Arial"/>
        </w:rPr>
      </w:pPr>
      <w:proofErr w:type="spellStart"/>
      <w:r>
        <w:rPr>
          <w:rFonts w:ascii="Arial"/>
        </w:rPr>
        <w:t>Bahare</w:t>
      </w:r>
      <w:proofErr w:type="spellEnd"/>
      <w:r>
        <w:rPr>
          <w:rFonts w:ascii="Arial"/>
        </w:rPr>
        <w:t xml:space="preserve"> </w:t>
      </w:r>
      <w:proofErr w:type="spellStart"/>
      <w:r>
        <w:rPr>
          <w:rFonts w:ascii="Arial"/>
        </w:rPr>
        <w:t>Firoozbakht</w:t>
      </w:r>
      <w:proofErr w:type="spellEnd"/>
      <w:r>
        <w:rPr>
          <w:rFonts w:ascii="Arial"/>
        </w:rPr>
        <w:t>, MSc, IUMS, Iran</w:t>
      </w:r>
    </w:p>
    <w:p w:rsidR="00B33B39" w:rsidRDefault="00B33B39" w:rsidP="005973B9">
      <w:pPr>
        <w:pStyle w:val="BodyText"/>
        <w:spacing w:before="73" w:line="198" w:lineRule="exact"/>
        <w:ind w:left="100" w:right="5987"/>
        <w:rPr>
          <w:rFonts w:ascii="Arial"/>
        </w:rPr>
      </w:pPr>
      <w:r>
        <w:rPr>
          <w:rFonts w:ascii="Arial"/>
        </w:rPr>
        <w:t xml:space="preserve">Mohsen </w:t>
      </w:r>
      <w:proofErr w:type="spellStart"/>
      <w:r>
        <w:rPr>
          <w:rFonts w:ascii="Arial"/>
        </w:rPr>
        <w:t>Mirmohammadsadeghi</w:t>
      </w:r>
      <w:proofErr w:type="spellEnd"/>
      <w:r>
        <w:rPr>
          <w:rFonts w:ascii="Arial"/>
        </w:rPr>
        <w:t>, MD, IUMS, Iran</w:t>
      </w: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rsidP="008A220C">
      <w:pPr>
        <w:pStyle w:val="Heading3"/>
        <w:spacing w:before="147"/>
        <w:ind w:left="0"/>
        <w:jc w:val="both"/>
      </w:pPr>
      <w:r>
        <w:rPr>
          <w:color w:val="BF5A14"/>
        </w:rPr>
        <w:lastRenderedPageBreak/>
        <w:t>Abstract</w:t>
      </w:r>
      <w:r w:rsidR="00404E5B">
        <w:rPr>
          <w:color w:val="BF5A14"/>
        </w:rPr>
        <w:t xml:space="preserve"> </w:t>
      </w:r>
    </w:p>
    <w:p w:rsidR="00E14D25" w:rsidRDefault="005C44C1" w:rsidP="005C44C1">
      <w:pPr>
        <w:rPr>
          <w:sz w:val="18"/>
          <w:szCs w:val="18"/>
        </w:rPr>
      </w:pPr>
      <w:r w:rsidRPr="005C44C1">
        <w:rPr>
          <w:sz w:val="18"/>
          <w:szCs w:val="18"/>
        </w:rPr>
        <w:t xml:space="preserve">Background: </w:t>
      </w:r>
      <w:proofErr w:type="spellStart"/>
      <w:r w:rsidRPr="005C44C1">
        <w:rPr>
          <w:sz w:val="18"/>
          <w:szCs w:val="18"/>
        </w:rPr>
        <w:t>Ostium</w:t>
      </w:r>
      <w:proofErr w:type="spellEnd"/>
      <w:r w:rsidRPr="005C44C1">
        <w:rPr>
          <w:sz w:val="18"/>
          <w:szCs w:val="18"/>
        </w:rPr>
        <w:t xml:space="preserve"> </w:t>
      </w:r>
      <w:proofErr w:type="spellStart"/>
      <w:r w:rsidRPr="005C44C1">
        <w:rPr>
          <w:sz w:val="18"/>
          <w:szCs w:val="18"/>
        </w:rPr>
        <w:t>secundum</w:t>
      </w:r>
      <w:proofErr w:type="spellEnd"/>
      <w:r w:rsidRPr="005C44C1">
        <w:rPr>
          <w:sz w:val="18"/>
          <w:szCs w:val="18"/>
        </w:rPr>
        <w:t xml:space="preserve"> Atrial </w:t>
      </w:r>
      <w:proofErr w:type="spellStart"/>
      <w:r w:rsidRPr="005C44C1">
        <w:rPr>
          <w:sz w:val="18"/>
          <w:szCs w:val="18"/>
        </w:rPr>
        <w:t>Septal</w:t>
      </w:r>
      <w:proofErr w:type="spellEnd"/>
      <w:r w:rsidRPr="005C44C1">
        <w:rPr>
          <w:sz w:val="18"/>
          <w:szCs w:val="18"/>
        </w:rPr>
        <w:t xml:space="preserve"> Defect (ASD) is one of the most common congenital heart diseases. Right Anterior Minithoracotomy (RAMT) is a promising technique for surgical closure of ASD.</w:t>
      </w:r>
    </w:p>
    <w:p w:rsidR="00E14D25" w:rsidRDefault="005C44C1" w:rsidP="00E14D25">
      <w:pPr>
        <w:rPr>
          <w:sz w:val="18"/>
          <w:szCs w:val="18"/>
        </w:rPr>
      </w:pPr>
      <w:r w:rsidRPr="005C44C1">
        <w:rPr>
          <w:sz w:val="18"/>
          <w:szCs w:val="18"/>
        </w:rPr>
        <w:t xml:space="preserve">Objectives: This study aimed to assess the safety of minimally invasive RAMT with peripheral cannulation and compare it to full median sternotomy (Conventional Median Sternotomy, CMS) regarding clinical outcomes and Health-Related Quality of Life (HRQOL) in surgical closure. Methods: In this quantitative, cross-sectional study, all clinical records of 51 patients (30 RAMT and 21 CMS) who underwent ASDII closure between March 2016 and November 2019 were collected. The patients’ HRQOL was evaluated using a Short Form-12 questionnaire. The two groups’ clinical outcomes and HRQOL were compared using IBM SPSS Statistics. </w:t>
      </w:r>
    </w:p>
    <w:p w:rsidR="00E14D25" w:rsidRDefault="005C44C1" w:rsidP="00E14D25">
      <w:pPr>
        <w:rPr>
          <w:sz w:val="18"/>
          <w:szCs w:val="18"/>
        </w:rPr>
      </w:pPr>
      <w:r w:rsidRPr="005C44C1">
        <w:rPr>
          <w:sz w:val="18"/>
          <w:szCs w:val="18"/>
        </w:rPr>
        <w:t>Results: This study was conducted on 30 patients (23 females and 7 males) with RAMT and 21 patients (10 females and 11 males) with CMS ASD closure. The two groups were similar with respect to age, left ventricular ejection fraction, preoperative hemoglobin, family status, level of education, and employment status. However, operation length, Cardiopulmonary Bypass (CPB) time, and mean aortic cross clamp time were significantly lower in the CMS group (P &lt; 0.001). The mean amount of chest tube drainage in the first 24 hours after surgery was 148.27 ± 122.82 mL in the RAMT group and 217.50 ± 134.04 mL in the CMS group (P = 0.02). The results showed no significant difference between males and females regarding the mean CMS and total score of HRQOL. Yet, the mean score of PCS was significantly better in the female patients in the RAMT group (P = 0.03)</w:t>
      </w:r>
      <w:r w:rsidR="00E14D25">
        <w:rPr>
          <w:sz w:val="18"/>
          <w:szCs w:val="18"/>
        </w:rPr>
        <w:t xml:space="preserve"> (figure1)</w:t>
      </w:r>
      <w:r w:rsidRPr="005C44C1">
        <w:rPr>
          <w:sz w:val="18"/>
          <w:szCs w:val="18"/>
        </w:rPr>
        <w:t xml:space="preserve">. </w:t>
      </w:r>
    </w:p>
    <w:p w:rsidR="005C44C1" w:rsidRPr="005C44C1" w:rsidRDefault="005C44C1" w:rsidP="00E14D25">
      <w:pPr>
        <w:rPr>
          <w:sz w:val="18"/>
          <w:szCs w:val="18"/>
        </w:rPr>
      </w:pPr>
      <w:r w:rsidRPr="005C44C1">
        <w:rPr>
          <w:sz w:val="18"/>
          <w:szCs w:val="18"/>
        </w:rPr>
        <w:t>Conclusions: Despite the longer operation and cardiopulmonary bypass time, RAMT procedure was associated with similar mortality and lower postoperative bleeding. Moreover, female patients in the RAMT group showed better physical component of HRQOL.</w:t>
      </w:r>
    </w:p>
    <w:p w:rsidR="005C44C1" w:rsidRDefault="005C44C1">
      <w:pPr>
        <w:pStyle w:val="Heading3"/>
        <w:spacing w:before="74"/>
        <w:rPr>
          <w:color w:val="BF5A14"/>
        </w:rPr>
      </w:pPr>
    </w:p>
    <w:p w:rsidR="005C44C1" w:rsidRDefault="005C44C1">
      <w:pPr>
        <w:pStyle w:val="Heading3"/>
        <w:spacing w:before="74"/>
        <w:rPr>
          <w:color w:val="BF5A14"/>
        </w:rPr>
      </w:pPr>
    </w:p>
    <w:p w:rsidR="005C44C1" w:rsidRDefault="005C44C1">
      <w:pPr>
        <w:pStyle w:val="Heading3"/>
        <w:spacing w:before="74"/>
        <w:rPr>
          <w:color w:val="BF5A14"/>
        </w:rPr>
      </w:pPr>
    </w:p>
    <w:p w:rsidR="005C44C1" w:rsidRDefault="005C44C1">
      <w:pPr>
        <w:pStyle w:val="Heading3"/>
        <w:spacing w:before="74"/>
        <w:rPr>
          <w:color w:val="BF5A14"/>
        </w:rPr>
      </w:pPr>
    </w:p>
    <w:p w:rsidR="005C44C1" w:rsidRDefault="005C44C1">
      <w:pPr>
        <w:pStyle w:val="Heading3"/>
        <w:spacing w:before="74"/>
        <w:rPr>
          <w:color w:val="BF5A14"/>
        </w:rPr>
      </w:pPr>
    </w:p>
    <w:p w:rsidR="005C44C1" w:rsidRDefault="005C44C1">
      <w:pPr>
        <w:pStyle w:val="Heading3"/>
        <w:spacing w:before="74"/>
        <w:rPr>
          <w:color w:val="BF5A14"/>
        </w:rPr>
      </w:pPr>
    </w:p>
    <w:p w:rsidR="005C19AF" w:rsidRDefault="005C19AF" w:rsidP="005C19AF">
      <w:pPr>
        <w:pStyle w:val="Heading3"/>
        <w:spacing w:before="74"/>
        <w:ind w:left="0"/>
        <w:rPr>
          <w:color w:val="BF5A14"/>
        </w:rPr>
      </w:pPr>
    </w:p>
    <w:p w:rsidR="00AE3E37" w:rsidRDefault="00A9710C" w:rsidP="005C19AF">
      <w:pPr>
        <w:pStyle w:val="Heading3"/>
        <w:spacing w:before="74"/>
        <w:ind w:left="0"/>
        <w:rPr>
          <w:color w:val="BF5A14"/>
        </w:rPr>
      </w:pPr>
      <w:r>
        <w:rPr>
          <w:color w:val="BF5A14"/>
        </w:rPr>
        <w:lastRenderedPageBreak/>
        <w:t>Image</w:t>
      </w:r>
    </w:p>
    <w:p w:rsidR="005C44C1" w:rsidRDefault="005C44C1">
      <w:pPr>
        <w:pStyle w:val="Heading3"/>
        <w:spacing w:before="74"/>
      </w:pPr>
    </w:p>
    <w:p w:rsidR="005C44C1" w:rsidRPr="00723BF8" w:rsidRDefault="005C44C1" w:rsidP="005C44C1">
      <w:pPr>
        <w:rPr>
          <w:rFonts w:ascii="Times New Roman" w:hAnsi="Times New Roman" w:cs="Times New Roman"/>
          <w:rtl/>
          <w:lang w:bidi="fa-IR"/>
        </w:rPr>
      </w:pPr>
      <w:r w:rsidRPr="00723BF8">
        <w:rPr>
          <w:rFonts w:ascii="Times New Roman" w:hAnsi="Times New Roman" w:cs="Times New Roman"/>
          <w:lang w:bidi="fa-IR"/>
        </w:rPr>
        <w:t xml:space="preserve">Figure </w:t>
      </w:r>
      <w:r>
        <w:rPr>
          <w:rFonts w:ascii="Times New Roman" w:hAnsi="Times New Roman" w:cs="Times New Roman"/>
          <w:lang w:bidi="fa-IR"/>
        </w:rPr>
        <w:t>1</w:t>
      </w:r>
      <w:r w:rsidRPr="00723BF8">
        <w:rPr>
          <w:rFonts w:ascii="Times New Roman" w:hAnsi="Times New Roman" w:cs="Times New Roman"/>
          <w:lang w:bidi="fa-IR"/>
        </w:rPr>
        <w:t>. Comparison of the two groups regarding the mean score of health- related quality of life based on sex.</w:t>
      </w:r>
    </w:p>
    <w:p w:rsidR="00AE3E37" w:rsidRPr="005C19AF" w:rsidRDefault="005C44C1" w:rsidP="005C19AF">
      <w:r>
        <w:rPr>
          <w:noProof/>
          <w:lang w:val="en-IN" w:eastAsia="en-IN"/>
        </w:rPr>
        <w:drawing>
          <wp:inline distT="0" distB="0" distL="0" distR="0">
            <wp:extent cx="3905250" cy="1638300"/>
            <wp:effectExtent l="0" t="0" r="0" b="0"/>
            <wp:docPr id="3" name="Chart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t xml:space="preserve"> </w:t>
      </w:r>
    </w:p>
    <w:p w:rsidR="005973B9" w:rsidRDefault="005973B9" w:rsidP="005973B9">
      <w:pPr>
        <w:spacing w:line="204" w:lineRule="exact"/>
        <w:rPr>
          <w:rFonts w:ascii="Arial"/>
          <w:b/>
          <w:sz w:val="20"/>
        </w:rPr>
      </w:pPr>
      <w:r>
        <w:rPr>
          <w:rFonts w:ascii="Arial"/>
          <w:b/>
          <w:color w:val="BF5A14"/>
          <w:sz w:val="20"/>
        </w:rPr>
        <w:br/>
        <w:t>Recent Publications (minimum 5)</w:t>
      </w:r>
    </w:p>
    <w:p w:rsidR="005C44C1" w:rsidRDefault="005C44C1" w:rsidP="005C44C1">
      <w:pPr>
        <w:pStyle w:val="ListParagraph"/>
        <w:numPr>
          <w:ilvl w:val="0"/>
          <w:numId w:val="3"/>
        </w:numPr>
        <w:tabs>
          <w:tab w:val="left" w:pos="384"/>
        </w:tabs>
        <w:spacing w:before="103" w:line="216" w:lineRule="exact"/>
        <w:ind w:right="138" w:hanging="283"/>
        <w:rPr>
          <w:sz w:val="18"/>
        </w:rPr>
      </w:pPr>
      <w:r w:rsidRPr="005C44C1">
        <w:rPr>
          <w:sz w:val="18"/>
        </w:rPr>
        <w:t xml:space="preserve">1. Doll N, Walther T, Falk V, </w:t>
      </w:r>
      <w:proofErr w:type="spellStart"/>
      <w:r w:rsidRPr="005C44C1">
        <w:rPr>
          <w:sz w:val="18"/>
        </w:rPr>
        <w:t>Binner</w:t>
      </w:r>
      <w:proofErr w:type="spellEnd"/>
      <w:r w:rsidRPr="005C44C1">
        <w:rPr>
          <w:sz w:val="18"/>
        </w:rPr>
        <w:t xml:space="preserve"> C, </w:t>
      </w:r>
      <w:proofErr w:type="spellStart"/>
      <w:r w:rsidRPr="005C44C1">
        <w:rPr>
          <w:sz w:val="18"/>
        </w:rPr>
        <w:t>Bucerius</w:t>
      </w:r>
      <w:proofErr w:type="spellEnd"/>
      <w:r w:rsidRPr="005C44C1">
        <w:rPr>
          <w:sz w:val="18"/>
        </w:rPr>
        <w:t xml:space="preserve"> J, Borger MA, et al. </w:t>
      </w:r>
      <w:proofErr w:type="spellStart"/>
      <w:r w:rsidRPr="005C44C1">
        <w:rPr>
          <w:sz w:val="18"/>
        </w:rPr>
        <w:t>Secundum</w:t>
      </w:r>
      <w:proofErr w:type="spellEnd"/>
      <w:r w:rsidRPr="005C44C1">
        <w:rPr>
          <w:sz w:val="18"/>
        </w:rPr>
        <w:t xml:space="preserve"> ASD closure using a right lateral minithoracotomy: five</w:t>
      </w:r>
      <w:r w:rsidR="00205D6C">
        <w:rPr>
          <w:sz w:val="18"/>
        </w:rPr>
        <w:t xml:space="preserve"> </w:t>
      </w:r>
      <w:r w:rsidRPr="005C44C1">
        <w:rPr>
          <w:sz w:val="18"/>
        </w:rPr>
        <w:t xml:space="preserve">year experience in 122 patients. Ann </w:t>
      </w:r>
      <w:proofErr w:type="spellStart"/>
      <w:r w:rsidRPr="005C44C1">
        <w:rPr>
          <w:sz w:val="18"/>
        </w:rPr>
        <w:t>Thorac</w:t>
      </w:r>
      <w:proofErr w:type="spellEnd"/>
      <w:r w:rsidRPr="005C44C1">
        <w:rPr>
          <w:sz w:val="18"/>
        </w:rPr>
        <w:t xml:space="preserve"> Surg. 2003;75(5):1527- 30; discussion 30-1. </w:t>
      </w:r>
    </w:p>
    <w:p w:rsidR="005C44C1" w:rsidRDefault="005C44C1" w:rsidP="005973B9">
      <w:pPr>
        <w:pStyle w:val="ListParagraph"/>
        <w:numPr>
          <w:ilvl w:val="0"/>
          <w:numId w:val="3"/>
        </w:numPr>
        <w:tabs>
          <w:tab w:val="left" w:pos="384"/>
        </w:tabs>
        <w:spacing w:before="103" w:line="216" w:lineRule="exact"/>
        <w:ind w:right="138" w:hanging="283"/>
        <w:rPr>
          <w:sz w:val="18"/>
        </w:rPr>
      </w:pPr>
      <w:r w:rsidRPr="005C44C1">
        <w:rPr>
          <w:sz w:val="18"/>
        </w:rPr>
        <w:t xml:space="preserve">Sierra J, </w:t>
      </w:r>
      <w:proofErr w:type="spellStart"/>
      <w:r w:rsidRPr="005C44C1">
        <w:rPr>
          <w:sz w:val="18"/>
        </w:rPr>
        <w:t>Lahlaidi</w:t>
      </w:r>
      <w:proofErr w:type="spellEnd"/>
      <w:r w:rsidRPr="005C44C1">
        <w:rPr>
          <w:sz w:val="18"/>
        </w:rPr>
        <w:t xml:space="preserve"> Sierra N, </w:t>
      </w:r>
      <w:proofErr w:type="spellStart"/>
      <w:r w:rsidRPr="005C44C1">
        <w:rPr>
          <w:sz w:val="18"/>
        </w:rPr>
        <w:t>Bednarkiewicz</w:t>
      </w:r>
      <w:proofErr w:type="spellEnd"/>
      <w:r w:rsidRPr="005C44C1">
        <w:rPr>
          <w:sz w:val="18"/>
        </w:rPr>
        <w:t xml:space="preserve"> M, </w:t>
      </w:r>
      <w:proofErr w:type="spellStart"/>
      <w:r w:rsidRPr="005C44C1">
        <w:rPr>
          <w:sz w:val="18"/>
        </w:rPr>
        <w:t>Montessuit</w:t>
      </w:r>
      <w:proofErr w:type="spellEnd"/>
      <w:r w:rsidRPr="005C44C1">
        <w:rPr>
          <w:sz w:val="18"/>
        </w:rPr>
        <w:t xml:space="preserve"> M. [Minimal invasive cardiac surgery]. Rev Med Suisse. 2015;11(464):543-5. </w:t>
      </w:r>
    </w:p>
    <w:p w:rsidR="005C44C1" w:rsidRDefault="005C44C1" w:rsidP="005973B9">
      <w:pPr>
        <w:pStyle w:val="ListParagraph"/>
        <w:numPr>
          <w:ilvl w:val="0"/>
          <w:numId w:val="3"/>
        </w:numPr>
        <w:tabs>
          <w:tab w:val="left" w:pos="384"/>
        </w:tabs>
        <w:spacing w:before="103" w:line="216" w:lineRule="exact"/>
        <w:ind w:right="138" w:hanging="283"/>
        <w:rPr>
          <w:sz w:val="18"/>
        </w:rPr>
      </w:pPr>
      <w:proofErr w:type="spellStart"/>
      <w:r w:rsidRPr="005C44C1">
        <w:rPr>
          <w:sz w:val="18"/>
        </w:rPr>
        <w:t>Mongero</w:t>
      </w:r>
      <w:proofErr w:type="spellEnd"/>
      <w:r w:rsidRPr="005C44C1">
        <w:rPr>
          <w:sz w:val="18"/>
        </w:rPr>
        <w:t xml:space="preserve"> LB, Beck JR. On bypass: advanced perfusion techniques. Springer Science &amp; Business Media; 2008. </w:t>
      </w:r>
    </w:p>
    <w:p w:rsidR="005C44C1" w:rsidRDefault="005C44C1" w:rsidP="005973B9">
      <w:pPr>
        <w:pStyle w:val="ListParagraph"/>
        <w:numPr>
          <w:ilvl w:val="0"/>
          <w:numId w:val="3"/>
        </w:numPr>
        <w:tabs>
          <w:tab w:val="left" w:pos="384"/>
        </w:tabs>
        <w:spacing w:before="103" w:line="216" w:lineRule="exact"/>
        <w:ind w:right="138" w:hanging="283"/>
        <w:rPr>
          <w:sz w:val="18"/>
        </w:rPr>
      </w:pPr>
      <w:proofErr w:type="spellStart"/>
      <w:r w:rsidRPr="005C44C1">
        <w:rPr>
          <w:sz w:val="18"/>
        </w:rPr>
        <w:t>Parvizi</w:t>
      </w:r>
      <w:proofErr w:type="spellEnd"/>
      <w:r w:rsidRPr="005C44C1">
        <w:rPr>
          <w:sz w:val="18"/>
        </w:rPr>
        <w:t xml:space="preserve"> R, </w:t>
      </w:r>
      <w:proofErr w:type="spellStart"/>
      <w:r w:rsidRPr="005C44C1">
        <w:rPr>
          <w:sz w:val="18"/>
        </w:rPr>
        <w:t>Hashemzehi</w:t>
      </w:r>
      <w:proofErr w:type="spellEnd"/>
      <w:r w:rsidRPr="005C44C1">
        <w:rPr>
          <w:sz w:val="18"/>
        </w:rPr>
        <w:t xml:space="preserve"> M, </w:t>
      </w:r>
      <w:proofErr w:type="spellStart"/>
      <w:r w:rsidRPr="005C44C1">
        <w:rPr>
          <w:sz w:val="18"/>
        </w:rPr>
        <w:t>Hassanzadeh</w:t>
      </w:r>
      <w:proofErr w:type="spellEnd"/>
      <w:r w:rsidRPr="005C44C1">
        <w:rPr>
          <w:sz w:val="18"/>
        </w:rPr>
        <w:t xml:space="preserve"> S, </w:t>
      </w:r>
      <w:proofErr w:type="spellStart"/>
      <w:r w:rsidRPr="005C44C1">
        <w:rPr>
          <w:sz w:val="18"/>
        </w:rPr>
        <w:t>Safai</w:t>
      </w:r>
      <w:proofErr w:type="spellEnd"/>
      <w:r w:rsidRPr="005C44C1">
        <w:rPr>
          <w:sz w:val="18"/>
        </w:rPr>
        <w:t xml:space="preserve"> N. Early results of median sternotomy versus right anterolateral thoracotomy in atrial septal defect closure. </w:t>
      </w:r>
      <w:proofErr w:type="spellStart"/>
      <w:r w:rsidRPr="005C44C1">
        <w:rPr>
          <w:sz w:val="18"/>
        </w:rPr>
        <w:t>Armaghane</w:t>
      </w:r>
      <w:proofErr w:type="spellEnd"/>
      <w:r w:rsidRPr="005C44C1">
        <w:rPr>
          <w:sz w:val="18"/>
        </w:rPr>
        <w:t xml:space="preserve"> </w:t>
      </w:r>
      <w:proofErr w:type="spellStart"/>
      <w:r w:rsidRPr="005C44C1">
        <w:rPr>
          <w:sz w:val="18"/>
        </w:rPr>
        <w:t>danesh</w:t>
      </w:r>
      <w:proofErr w:type="spellEnd"/>
      <w:r w:rsidRPr="005C44C1">
        <w:rPr>
          <w:sz w:val="18"/>
        </w:rPr>
        <w:t>. 2005;10(2):43-51.</w:t>
      </w:r>
    </w:p>
    <w:p w:rsidR="00AE3E37" w:rsidRPr="005C44C1" w:rsidRDefault="005C44C1" w:rsidP="00E8798D">
      <w:pPr>
        <w:pStyle w:val="ListParagraph"/>
        <w:numPr>
          <w:ilvl w:val="0"/>
          <w:numId w:val="3"/>
        </w:numPr>
        <w:tabs>
          <w:tab w:val="left" w:pos="384"/>
        </w:tabs>
        <w:spacing w:before="103"/>
        <w:ind w:right="138" w:hanging="283"/>
        <w:sectPr w:rsidR="00AE3E37" w:rsidRPr="005C44C1" w:rsidSect="008E5477">
          <w:type w:val="continuous"/>
          <w:pgSz w:w="11910" w:h="16840"/>
          <w:pgMar w:top="995" w:right="600" w:bottom="840" w:left="620" w:header="720" w:footer="720" w:gutter="0"/>
          <w:cols w:num="2" w:space="720" w:equalWidth="0">
            <w:col w:w="5214" w:space="138"/>
            <w:col w:w="5338"/>
          </w:cols>
        </w:sectPr>
      </w:pPr>
      <w:proofErr w:type="spellStart"/>
      <w:r w:rsidRPr="005C44C1">
        <w:rPr>
          <w:sz w:val="18"/>
        </w:rPr>
        <w:t>Yaliniz</w:t>
      </w:r>
      <w:proofErr w:type="spellEnd"/>
      <w:r w:rsidRPr="005C44C1">
        <w:rPr>
          <w:sz w:val="18"/>
        </w:rPr>
        <w:t xml:space="preserve"> H, </w:t>
      </w:r>
      <w:proofErr w:type="spellStart"/>
      <w:r w:rsidRPr="005C44C1">
        <w:rPr>
          <w:sz w:val="18"/>
        </w:rPr>
        <w:t>Topcuoglu</w:t>
      </w:r>
      <w:proofErr w:type="spellEnd"/>
      <w:r w:rsidRPr="005C44C1">
        <w:rPr>
          <w:sz w:val="18"/>
        </w:rPr>
        <w:t xml:space="preserve"> MS, </w:t>
      </w:r>
      <w:proofErr w:type="spellStart"/>
      <w:r w:rsidRPr="005C44C1">
        <w:rPr>
          <w:sz w:val="18"/>
        </w:rPr>
        <w:t>Gocen</w:t>
      </w:r>
      <w:proofErr w:type="spellEnd"/>
      <w:r w:rsidRPr="005C44C1">
        <w:rPr>
          <w:sz w:val="18"/>
        </w:rPr>
        <w:t xml:space="preserve"> U, </w:t>
      </w:r>
      <w:proofErr w:type="spellStart"/>
      <w:r w:rsidRPr="005C44C1">
        <w:rPr>
          <w:sz w:val="18"/>
        </w:rPr>
        <w:t>Atalay</w:t>
      </w:r>
      <w:proofErr w:type="spellEnd"/>
      <w:r w:rsidRPr="005C44C1">
        <w:rPr>
          <w:sz w:val="18"/>
        </w:rPr>
        <w:t xml:space="preserve"> A, </w:t>
      </w:r>
      <w:proofErr w:type="spellStart"/>
      <w:r w:rsidRPr="005C44C1">
        <w:rPr>
          <w:sz w:val="18"/>
        </w:rPr>
        <w:t>Keklik</w:t>
      </w:r>
      <w:proofErr w:type="spellEnd"/>
      <w:r w:rsidRPr="005C44C1">
        <w:rPr>
          <w:sz w:val="18"/>
        </w:rPr>
        <w:t xml:space="preserve"> V, </w:t>
      </w:r>
      <w:proofErr w:type="spellStart"/>
      <w:r w:rsidRPr="005C44C1">
        <w:rPr>
          <w:sz w:val="18"/>
        </w:rPr>
        <w:t>Basturk</w:t>
      </w:r>
      <w:proofErr w:type="spellEnd"/>
      <w:r w:rsidRPr="005C44C1">
        <w:rPr>
          <w:sz w:val="18"/>
        </w:rPr>
        <w:t xml:space="preserve"> Y, et al. Comparison between minimal right vertical infra-axillary thoracotomy and standard median sternotomy for repair of atrial septal defects. Asian J Surg. 2015;38(4):199-204.</w:t>
      </w:r>
      <w:r w:rsidR="008756E6" w:rsidRPr="005C44C1">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5="http://schemas.microsoft.com/office/word/2012/wordml" xmlns:cx="http://schemas.microsoft.com/office/drawing/2014/chartex">
            <w:pict>
              <v:group w14:anchorId="5A4A7B6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E14D25" w:rsidRDefault="00A52075" w:rsidP="005C19AF">
      <w:pPr>
        <w:spacing w:before="92"/>
        <w:ind w:right="4234"/>
        <w:rPr>
          <w:noProof/>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6ED1EBFD" wp14:editId="065734A9">
                <wp:simplePos x="0" y="0"/>
                <wp:positionH relativeFrom="column">
                  <wp:posOffset>5654675</wp:posOffset>
                </wp:positionH>
                <wp:positionV relativeFrom="paragraph">
                  <wp:posOffset>60960</wp:posOffset>
                </wp:positionV>
                <wp:extent cx="895350" cy="790575"/>
                <wp:effectExtent l="19050" t="19050" r="19050" b="28575"/>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350" cy="790575"/>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FA5DA0" w:rsidP="00FA5DA0">
                            <w:pPr>
                              <w:rPr>
                                <w:b/>
                                <w:color w:val="0000FF"/>
                                <w:lang w:val="en-IN"/>
                              </w:rPr>
                            </w:pPr>
                            <w:r>
                              <w:rPr>
                                <w:noProof/>
                                <w:lang w:val="en-IN" w:eastAsia="en-IN"/>
                              </w:rPr>
                              <w:drawing>
                                <wp:inline distT="0" distB="0" distL="0" distR="0" wp14:anchorId="20574C3E" wp14:editId="5014A803">
                                  <wp:extent cx="590550" cy="590550"/>
                                  <wp:effectExtent l="0" t="0" r="0" b="0"/>
                                  <wp:docPr id="6" name="Picture 6" descr="Amir (Mir-Mohammad Sadeghi) Mirmohammadsadegh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mir (Mir-Mohammad Sadeghi) Mirmohammadsadeghi"/>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flipH="1">
                                            <a:off x="0" y="0"/>
                                            <a:ext cx="590550" cy="590550"/>
                                          </a:xfrm>
                                          <a:prstGeom prst="rect">
                                            <a:avLst/>
                                          </a:prstGeom>
                                          <a:noFill/>
                                          <a:ln>
                                            <a:noFill/>
                                          </a:ln>
                                        </pic:spPr>
                                      </pic:pic>
                                    </a:graphicData>
                                  </a:graphic>
                                </wp:inline>
                              </w:drawing>
                            </w:r>
                            <w:r w:rsidR="00A52075">
                              <w:rPr>
                                <w:b/>
                                <w:color w:val="0000FF"/>
                                <w:lang w:val="en-IN"/>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roundrect w14:anchorId="6ED1EBFD" id="Rounded Rectangle 2" o:spid="_x0000_s1026" style="position:absolute;margin-left:445.25pt;margin-top:4.8pt;width:70.5pt;height:6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" strokecolor="#9bbb59" strokeweight="2.5pt">
                <v:shadow color="#868686"/>
                <v:textbox>
                  <w:txbxContent>
                    <w:p w:rsidR="00A52075" w:rsidRDefault="00FA5DA0" w:rsidP="00FA5DA0">
                      <w:pPr>
                        <w:rPr>
                          <w:b/>
                          <w:color w:val="0000FF"/>
                          <w:lang w:val="en-IN"/>
                        </w:rPr>
                      </w:pPr>
                      <w:r>
                        <w:rPr>
                          <w:noProof/>
                        </w:rPr>
                        <w:drawing>
                          <wp:inline distT="0" distB="0" distL="0" distR="0" wp14:anchorId="20574C3E" wp14:editId="5014A803">
                            <wp:extent cx="590550" cy="590550"/>
                            <wp:effectExtent l="0" t="0" r="0" b="0"/>
                            <wp:docPr id="6" name="Picture 6" descr="Amir (Mir-Mohammad Sadeghi) Mirmohammadsadegh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mir (Mir-Mohammad Sadeghi) Mirmohammadsadeghi"/>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flipH="1">
                                      <a:off x="0" y="0"/>
                                      <a:ext cx="590550" cy="590550"/>
                                    </a:xfrm>
                                    <a:prstGeom prst="rect">
                                      <a:avLst/>
                                    </a:prstGeom>
                                    <a:noFill/>
                                    <a:ln>
                                      <a:noFill/>
                                    </a:ln>
                                  </pic:spPr>
                                </pic:pic>
                              </a:graphicData>
                            </a:graphic>
                          </wp:inline>
                        </w:drawing>
                      </w:r>
                      <w:r w:rsidR="00A52075">
                        <w:rPr>
                          <w:b/>
                          <w:color w:val="0000FF"/>
                          <w:lang w:val="en-IN"/>
                        </w:rPr>
                        <w:t xml:space="preserve"> </w:t>
                      </w:r>
                    </w:p>
                  </w:txbxContent>
                </v:textbox>
              </v:roundrect>
            </w:pict>
          </mc:Fallback>
        </mc:AlternateContent>
      </w:r>
      <w:r w:rsidR="008756E6">
        <w:rPr>
          <w:noProof/>
        </w:rPr>
        <w:t xml:space="preserve">              </w:t>
      </w:r>
    </w:p>
    <w:p w:rsidR="00FA5DA0" w:rsidRDefault="00FA5DA0" w:rsidP="00E14D25">
      <w:pPr>
        <w:spacing w:before="92"/>
        <w:ind w:right="4234"/>
        <w:rPr>
          <w:rFonts w:ascii="Arial"/>
          <w:color w:val="BF5A14"/>
        </w:rPr>
      </w:pPr>
    </w:p>
    <w:p w:rsidR="00FA5DA0" w:rsidRDefault="00FA5DA0" w:rsidP="00E14D25">
      <w:pPr>
        <w:spacing w:before="92"/>
        <w:ind w:right="4234"/>
        <w:rPr>
          <w:rFonts w:ascii="Arial"/>
          <w:color w:val="BF5A14"/>
        </w:rPr>
      </w:pPr>
    </w:p>
    <w:p w:rsidR="00FA5DA0" w:rsidRDefault="00FA5DA0" w:rsidP="00E14D25">
      <w:pPr>
        <w:spacing w:before="92"/>
        <w:ind w:right="4234"/>
        <w:rPr>
          <w:rFonts w:ascii="Arial"/>
          <w:color w:val="BF5A14"/>
        </w:rPr>
      </w:pPr>
    </w:p>
    <w:p w:rsidR="00AE3E37" w:rsidRDefault="00A9710C" w:rsidP="00E14D25">
      <w:pPr>
        <w:spacing w:before="92"/>
        <w:ind w:right="4234"/>
        <w:rPr>
          <w:rFonts w:ascii="Arial"/>
        </w:rPr>
      </w:pPr>
      <w:r>
        <w:rPr>
          <w:rFonts w:ascii="Arial"/>
          <w:color w:val="BF5A14"/>
        </w:rPr>
        <w:t>Biography</w:t>
      </w:r>
      <w:r w:rsidR="00404E5B">
        <w:rPr>
          <w:rFonts w:ascii="Arial"/>
          <w:color w:val="BF5A14"/>
        </w:rPr>
        <w:t xml:space="preserve"> </w:t>
      </w:r>
    </w:p>
    <w:p w:rsidR="00AE3E37" w:rsidRDefault="005C19AF" w:rsidP="00194F79">
      <w:pPr>
        <w:pStyle w:val="BodyText"/>
        <w:spacing w:before="2"/>
        <w:rPr>
          <w:rFonts w:ascii="Arial"/>
          <w:sz w:val="14"/>
          <w:szCs w:val="22"/>
        </w:rPr>
      </w:pPr>
      <w:r>
        <w:rPr>
          <w:rFonts w:ascii="Arial"/>
          <w:sz w:val="14"/>
          <w:szCs w:val="22"/>
        </w:rPr>
        <w:t xml:space="preserve">Amir </w:t>
      </w:r>
      <w:proofErr w:type="spellStart"/>
      <w:r>
        <w:rPr>
          <w:rFonts w:ascii="Arial"/>
          <w:sz w:val="14"/>
          <w:szCs w:val="22"/>
        </w:rPr>
        <w:t>Mirmohammadsadeghi</w:t>
      </w:r>
      <w:proofErr w:type="spellEnd"/>
      <w:r>
        <w:rPr>
          <w:rFonts w:ascii="Arial"/>
          <w:sz w:val="14"/>
          <w:szCs w:val="22"/>
        </w:rPr>
        <w:t xml:space="preserve">. </w:t>
      </w:r>
      <w:r w:rsidR="00E14D25" w:rsidRPr="00E14D25">
        <w:rPr>
          <w:rFonts w:ascii="Arial"/>
          <w:sz w:val="14"/>
          <w:szCs w:val="22"/>
        </w:rPr>
        <w:t xml:space="preserve">After graduating in September, 2012 </w:t>
      </w:r>
      <w:r w:rsidR="00194F79">
        <w:rPr>
          <w:rFonts w:ascii="Arial"/>
          <w:sz w:val="14"/>
          <w:szCs w:val="22"/>
        </w:rPr>
        <w:t>I have worked as assistant professor of cardiac surgery</w:t>
      </w:r>
      <w:r w:rsidR="00E14D25" w:rsidRPr="00E14D25">
        <w:rPr>
          <w:rFonts w:ascii="Arial"/>
          <w:sz w:val="14"/>
          <w:szCs w:val="22"/>
        </w:rPr>
        <w:t xml:space="preserve"> in </w:t>
      </w:r>
      <w:proofErr w:type="spellStart"/>
      <w:r w:rsidR="00E14D25" w:rsidRPr="00E14D25">
        <w:rPr>
          <w:rFonts w:ascii="Arial"/>
          <w:sz w:val="14"/>
          <w:szCs w:val="22"/>
        </w:rPr>
        <w:t>Chamran</w:t>
      </w:r>
      <w:proofErr w:type="spellEnd"/>
      <w:r w:rsidR="00E14D25" w:rsidRPr="00E14D25">
        <w:rPr>
          <w:rFonts w:ascii="Arial"/>
          <w:sz w:val="14"/>
          <w:szCs w:val="22"/>
        </w:rPr>
        <w:t xml:space="preserve"> Heart Center related to Isfahan University of Medical Sciences. I also work in </w:t>
      </w:r>
      <w:proofErr w:type="spellStart"/>
      <w:r w:rsidR="00E14D25" w:rsidRPr="00E14D25">
        <w:rPr>
          <w:rFonts w:ascii="Arial"/>
          <w:sz w:val="14"/>
          <w:szCs w:val="22"/>
        </w:rPr>
        <w:t>Milad</w:t>
      </w:r>
      <w:proofErr w:type="spellEnd"/>
      <w:r w:rsidR="00E14D25" w:rsidRPr="00E14D25">
        <w:rPr>
          <w:rFonts w:ascii="Arial"/>
          <w:sz w:val="14"/>
          <w:szCs w:val="22"/>
        </w:rPr>
        <w:t xml:space="preserve"> Hospital, Isfahan, Iran which is a private hospital since May, 2018. Besides Routine cardiac operations such as coronary artery bypass graft surgery and </w:t>
      </w:r>
      <w:proofErr w:type="spellStart"/>
      <w:r w:rsidR="00E14D25" w:rsidRPr="00E14D25">
        <w:rPr>
          <w:rFonts w:ascii="Arial"/>
          <w:sz w:val="14"/>
          <w:szCs w:val="22"/>
        </w:rPr>
        <w:t>valvular</w:t>
      </w:r>
      <w:proofErr w:type="spellEnd"/>
      <w:r w:rsidR="00E14D25" w:rsidRPr="00E14D25">
        <w:rPr>
          <w:rFonts w:ascii="Arial"/>
          <w:sz w:val="14"/>
          <w:szCs w:val="22"/>
        </w:rPr>
        <w:t xml:space="preserve"> heart surgery I have special experience in Heart Transplantation, dissection of aorta, and pulmonary endarterectomy. Also</w:t>
      </w:r>
      <w:r>
        <w:rPr>
          <w:rFonts w:ascii="Arial"/>
          <w:sz w:val="14"/>
          <w:szCs w:val="22"/>
        </w:rPr>
        <w:t>,</w:t>
      </w:r>
      <w:r w:rsidR="00E14D25" w:rsidRPr="00E14D25">
        <w:rPr>
          <w:rFonts w:ascii="Arial"/>
          <w:sz w:val="14"/>
          <w:szCs w:val="22"/>
        </w:rPr>
        <w:t xml:space="preserve"> I have the honor of being the pioneer of minimally invasive cardiac surgery (MICS) in Isfahan province since July, 2016 and being the current head of MICS ward in </w:t>
      </w:r>
      <w:proofErr w:type="spellStart"/>
      <w:r w:rsidR="00E14D25" w:rsidRPr="00E14D25">
        <w:rPr>
          <w:rFonts w:ascii="Arial"/>
          <w:sz w:val="14"/>
          <w:szCs w:val="22"/>
        </w:rPr>
        <w:t>Chamran</w:t>
      </w:r>
      <w:proofErr w:type="spellEnd"/>
      <w:r w:rsidR="00E14D25" w:rsidRPr="00E14D25">
        <w:rPr>
          <w:rFonts w:ascii="Arial"/>
          <w:sz w:val="14"/>
          <w:szCs w:val="22"/>
        </w:rPr>
        <w:t xml:space="preserve"> Heart Center. </w:t>
      </w:r>
    </w:p>
    <w:p w:rsidR="005C19AF" w:rsidRDefault="005C19AF" w:rsidP="005C19AF">
      <w:pPr>
        <w:pStyle w:val="BodyText"/>
        <w:spacing w:before="2"/>
        <w:rPr>
          <w:rFonts w:ascii="Arial"/>
          <w:sz w:val="19"/>
        </w:rPr>
      </w:pPr>
      <w:r>
        <w:rPr>
          <w:rFonts w:ascii="Arial"/>
          <w:sz w:val="14"/>
          <w:szCs w:val="22"/>
        </w:rPr>
        <w:t>Amir Mirmohammadsadeghi@gmail.com</w:t>
      </w:r>
    </w:p>
    <w:p w:rsidR="008A220C" w:rsidRDefault="008A220C" w:rsidP="00EA7D51">
      <w:pPr>
        <w:autoSpaceDE w:val="0"/>
        <w:autoSpaceDN w:val="0"/>
        <w:adjustRightInd w:val="0"/>
        <w:rPr>
          <w:b/>
          <w:sz w:val="20"/>
          <w:szCs w:val="20"/>
          <w:lang w:val="en-NZ"/>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5C19AF">
        <w:rPr>
          <w:sz w:val="20"/>
          <w:szCs w:val="20"/>
          <w:lang w:val="en-NZ"/>
        </w:rPr>
        <w:t xml:space="preserve">Amir </w:t>
      </w:r>
      <w:proofErr w:type="spellStart"/>
      <w:r w:rsidR="005C19AF">
        <w:rPr>
          <w:sz w:val="20"/>
          <w:szCs w:val="20"/>
          <w:lang w:val="en-NZ"/>
        </w:rPr>
        <w:t>Mirmohammadsadeghi</w:t>
      </w:r>
      <w:proofErr w:type="spellEnd"/>
      <w:r w:rsidRPr="00F35A62">
        <w:rPr>
          <w:sz w:val="20"/>
          <w:szCs w:val="20"/>
          <w:lang w:val="en-NZ"/>
        </w:rPr>
        <w:br/>
        <w:t>Contact number:</w:t>
      </w:r>
      <w:r w:rsidR="005C19AF">
        <w:rPr>
          <w:sz w:val="20"/>
          <w:szCs w:val="20"/>
          <w:lang w:val="en-NZ"/>
        </w:rPr>
        <w:t xml:space="preserve"> 00989131085664</w:t>
      </w:r>
      <w:r w:rsidRPr="00F35A62">
        <w:rPr>
          <w:sz w:val="20"/>
          <w:szCs w:val="20"/>
          <w:lang w:val="en-NZ"/>
        </w:rPr>
        <w:br/>
        <w:t>Twitter account:</w:t>
      </w:r>
      <w:r w:rsidR="005C19AF">
        <w:rPr>
          <w:sz w:val="20"/>
          <w:szCs w:val="20"/>
          <w:lang w:val="en-NZ"/>
        </w:rPr>
        <w:t xml:space="preserve"> I don’t have</w:t>
      </w:r>
      <w:r w:rsidRPr="00F35A62">
        <w:rPr>
          <w:sz w:val="20"/>
          <w:szCs w:val="20"/>
          <w:lang w:val="en-NZ"/>
        </w:rPr>
        <w:br/>
        <w:t>Linked In account:</w:t>
      </w:r>
      <w:r w:rsidR="005C19AF">
        <w:rPr>
          <w:sz w:val="20"/>
          <w:szCs w:val="20"/>
          <w:lang w:val="en-NZ"/>
        </w:rPr>
        <w:t xml:space="preserve"> Amir </w:t>
      </w:r>
      <w:proofErr w:type="spellStart"/>
      <w:r w:rsidR="005C19AF">
        <w:rPr>
          <w:sz w:val="20"/>
          <w:szCs w:val="20"/>
          <w:lang w:val="en-NZ"/>
        </w:rPr>
        <w:t>Mirmohammadsadeghi</w:t>
      </w:r>
      <w:proofErr w:type="spellEnd"/>
    </w:p>
    <w:p w:rsidR="00EA7D51" w:rsidRPr="007D22D2" w:rsidRDefault="00EA7D51" w:rsidP="007D22D2">
      <w:pPr>
        <w:autoSpaceDE w:val="0"/>
        <w:autoSpaceDN w:val="0"/>
        <w:adjustRightInd w:val="0"/>
        <w:rPr>
          <w:sz w:val="20"/>
          <w:szCs w:val="20"/>
          <w:lang w:val="en-NZ"/>
        </w:rPr>
        <w:sectPr w:rsidR="00EA7D51" w:rsidRPr="007D22D2" w:rsidSect="008E5477">
          <w:type w:val="continuous"/>
          <w:pgSz w:w="11910" w:h="16840"/>
          <w:pgMar w:top="995" w:right="600" w:bottom="840" w:left="620" w:header="720" w:footer="720" w:gutter="0"/>
          <w:cols w:space="720"/>
        </w:sectPr>
      </w:pPr>
      <w:r w:rsidRPr="00F35A62">
        <w:rPr>
          <w:sz w:val="20"/>
          <w:szCs w:val="20"/>
          <w:lang w:val="en-NZ"/>
        </w:rPr>
        <w:lastRenderedPageBreak/>
        <w:t xml:space="preserve">Session name/ number: </w:t>
      </w:r>
      <w:r w:rsidRPr="00F35A62">
        <w:rPr>
          <w:sz w:val="20"/>
          <w:szCs w:val="20"/>
          <w:lang w:val="en-NZ"/>
        </w:rPr>
        <w:br/>
        <w:t xml:space="preserve">Category: </w:t>
      </w:r>
      <w:r w:rsidR="005C19AF">
        <w:rPr>
          <w:sz w:val="20"/>
          <w:szCs w:val="20"/>
          <w:lang w:val="en-NZ"/>
        </w:rPr>
        <w:t>Poster presentation</w:t>
      </w:r>
      <w:r w:rsidRPr="00F35A62">
        <w:rPr>
          <w:sz w:val="20"/>
          <w:szCs w:val="20"/>
          <w:lang w:val="en-NZ"/>
        </w:rPr>
        <w:br/>
      </w: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43CE" w:rsidRDefault="000C43CE">
      <w:r>
        <w:separator/>
      </w:r>
    </w:p>
  </w:endnote>
  <w:endnote w:type="continuationSeparator" w:id="0">
    <w:p w:rsidR="000C43CE" w:rsidRDefault="000C43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w14:anchorId="16353DE7"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437E56F9"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5D6ACFB3"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43CE" w:rsidRDefault="000C43CE">
      <w:r>
        <w:separator/>
      </w:r>
    </w:p>
  </w:footnote>
  <w:footnote w:type="continuationSeparator" w:id="0">
    <w:p w:rsidR="000C43CE" w:rsidRDefault="000C43C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284" w:hanging="284"/>
      </w:pPr>
      <w:rPr>
        <w:rFonts w:ascii="Calibri" w:eastAsia="Calibri" w:hAnsi="Calibri" w:cs="Calibri" w:hint="default"/>
        <w:spacing w:val="-16"/>
        <w:w w:val="100"/>
        <w:sz w:val="18"/>
        <w:szCs w:val="18"/>
      </w:rPr>
    </w:lvl>
    <w:lvl w:ilvl="1" w:tplc="C60E89D2">
      <w:start w:val="1"/>
      <w:numFmt w:val="bullet"/>
      <w:lvlText w:val="•"/>
      <w:lvlJc w:val="left"/>
      <w:pPr>
        <w:ind w:left="778" w:hanging="284"/>
      </w:pPr>
      <w:rPr>
        <w:rFonts w:hint="default"/>
      </w:rPr>
    </w:lvl>
    <w:lvl w:ilvl="2" w:tplc="9E4C3810">
      <w:start w:val="1"/>
      <w:numFmt w:val="bullet"/>
      <w:lvlText w:val="•"/>
      <w:lvlJc w:val="left"/>
      <w:pPr>
        <w:ind w:left="1275" w:hanging="284"/>
      </w:pPr>
      <w:rPr>
        <w:rFonts w:hint="default"/>
      </w:rPr>
    </w:lvl>
    <w:lvl w:ilvl="3" w:tplc="27FEBB2C">
      <w:start w:val="1"/>
      <w:numFmt w:val="bullet"/>
      <w:lvlText w:val="•"/>
      <w:lvlJc w:val="left"/>
      <w:pPr>
        <w:ind w:left="1772" w:hanging="284"/>
      </w:pPr>
      <w:rPr>
        <w:rFonts w:hint="default"/>
      </w:rPr>
    </w:lvl>
    <w:lvl w:ilvl="4" w:tplc="40E042A8">
      <w:start w:val="1"/>
      <w:numFmt w:val="bullet"/>
      <w:lvlText w:val="•"/>
      <w:lvlJc w:val="left"/>
      <w:pPr>
        <w:ind w:left="2270" w:hanging="284"/>
      </w:pPr>
      <w:rPr>
        <w:rFonts w:hint="default"/>
      </w:rPr>
    </w:lvl>
    <w:lvl w:ilvl="5" w:tplc="80EC61F2">
      <w:start w:val="1"/>
      <w:numFmt w:val="bullet"/>
      <w:lvlText w:val="•"/>
      <w:lvlJc w:val="left"/>
      <w:pPr>
        <w:ind w:left="2767" w:hanging="284"/>
      </w:pPr>
      <w:rPr>
        <w:rFonts w:hint="default"/>
      </w:rPr>
    </w:lvl>
    <w:lvl w:ilvl="6" w:tplc="F60232E2">
      <w:start w:val="1"/>
      <w:numFmt w:val="bullet"/>
      <w:lvlText w:val="•"/>
      <w:lvlJc w:val="left"/>
      <w:pPr>
        <w:ind w:left="3264" w:hanging="284"/>
      </w:pPr>
      <w:rPr>
        <w:rFonts w:hint="default"/>
      </w:rPr>
    </w:lvl>
    <w:lvl w:ilvl="7" w:tplc="69AE9EC2">
      <w:start w:val="1"/>
      <w:numFmt w:val="bullet"/>
      <w:lvlText w:val="•"/>
      <w:lvlJc w:val="left"/>
      <w:pPr>
        <w:ind w:left="3761" w:hanging="284"/>
      </w:pPr>
      <w:rPr>
        <w:rFonts w:hint="default"/>
      </w:rPr>
    </w:lvl>
    <w:lvl w:ilvl="8" w:tplc="16D69236">
      <w:start w:val="1"/>
      <w:numFmt w:val="bullet"/>
      <w:lvlText w:val="•"/>
      <w:lvlJc w:val="left"/>
      <w:pPr>
        <w:ind w:left="4259"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C43CE"/>
    <w:rsid w:val="000E2911"/>
    <w:rsid w:val="001263DF"/>
    <w:rsid w:val="00194F79"/>
    <w:rsid w:val="00205D6C"/>
    <w:rsid w:val="00243026"/>
    <w:rsid w:val="00292ED9"/>
    <w:rsid w:val="00351D9B"/>
    <w:rsid w:val="00380299"/>
    <w:rsid w:val="0038638E"/>
    <w:rsid w:val="00404E5B"/>
    <w:rsid w:val="00414F7B"/>
    <w:rsid w:val="004355DC"/>
    <w:rsid w:val="004749B4"/>
    <w:rsid w:val="00475D20"/>
    <w:rsid w:val="00494130"/>
    <w:rsid w:val="004F3523"/>
    <w:rsid w:val="00513BD2"/>
    <w:rsid w:val="00590D60"/>
    <w:rsid w:val="005973B9"/>
    <w:rsid w:val="005B3A56"/>
    <w:rsid w:val="005C19AF"/>
    <w:rsid w:val="005C44C1"/>
    <w:rsid w:val="006060CE"/>
    <w:rsid w:val="0061505C"/>
    <w:rsid w:val="0063497F"/>
    <w:rsid w:val="006652B5"/>
    <w:rsid w:val="00714354"/>
    <w:rsid w:val="007D22D2"/>
    <w:rsid w:val="00873DF0"/>
    <w:rsid w:val="008756E6"/>
    <w:rsid w:val="00897EC5"/>
    <w:rsid w:val="008A0763"/>
    <w:rsid w:val="008A220C"/>
    <w:rsid w:val="008E5477"/>
    <w:rsid w:val="009B2158"/>
    <w:rsid w:val="009B2D44"/>
    <w:rsid w:val="00A07E82"/>
    <w:rsid w:val="00A52075"/>
    <w:rsid w:val="00A7359E"/>
    <w:rsid w:val="00A9710C"/>
    <w:rsid w:val="00AE3E37"/>
    <w:rsid w:val="00B21A57"/>
    <w:rsid w:val="00B33B39"/>
    <w:rsid w:val="00BE6743"/>
    <w:rsid w:val="00BF6ADE"/>
    <w:rsid w:val="00C33602"/>
    <w:rsid w:val="00C56C74"/>
    <w:rsid w:val="00CD6F55"/>
    <w:rsid w:val="00DE3104"/>
    <w:rsid w:val="00DE6170"/>
    <w:rsid w:val="00E14D25"/>
    <w:rsid w:val="00E30AAC"/>
    <w:rsid w:val="00E95D97"/>
    <w:rsid w:val="00EA7D51"/>
    <w:rsid w:val="00F046EA"/>
    <w:rsid w:val="00F24AF8"/>
    <w:rsid w:val="00F312EA"/>
    <w:rsid w:val="00F35A62"/>
    <w:rsid w:val="00F72EEA"/>
    <w:rsid w:val="00F84CAE"/>
    <w:rsid w:val="00FA41DE"/>
    <w:rsid w:val="00FA5DA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0.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I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425" b="1" i="0" u="none" strike="noStrike" baseline="0">
                <a:solidFill>
                  <a:srgbClr val="000000"/>
                </a:solidFill>
                <a:latin typeface="Calibri"/>
                <a:ea typeface="Calibri"/>
                <a:cs typeface="Calibri"/>
              </a:defRPr>
            </a:pPr>
            <a:r>
              <a:rPr lang="en-US"/>
              <a:t> </a:t>
            </a:r>
          </a:p>
        </c:rich>
      </c:tx>
      <c:layout>
        <c:manualLayout>
          <c:xMode val="edge"/>
          <c:yMode val="edge"/>
          <c:x val="0.4325"/>
          <c:y val="3.5897435897435895E-2"/>
        </c:manualLayout>
      </c:layout>
      <c:overlay val="0"/>
      <c:spPr>
        <a:noFill/>
        <a:ln w="25400">
          <a:noFill/>
        </a:ln>
      </c:spPr>
    </c:title>
    <c:autoTitleDeleted val="0"/>
    <c:plotArea>
      <c:layout>
        <c:manualLayout>
          <c:layoutTarget val="inner"/>
          <c:xMode val="edge"/>
          <c:yMode val="edge"/>
          <c:x val="0.11"/>
          <c:y val="0.26153846153846155"/>
          <c:w val="0.79249999999999998"/>
          <c:h val="0.3487179487179487"/>
        </c:manualLayout>
      </c:layout>
      <c:barChart>
        <c:barDir val="col"/>
        <c:grouping val="clustered"/>
        <c:varyColors val="0"/>
        <c:ser>
          <c:idx val="0"/>
          <c:order val="0"/>
          <c:tx>
            <c:strRef>
              <c:f>Sheet1!$A$2</c:f>
              <c:strCache>
                <c:ptCount val="1"/>
                <c:pt idx="0">
                  <c:v>RAM</c:v>
                </c:pt>
              </c:strCache>
            </c:strRef>
          </c:tx>
          <c:spPr>
            <a:solidFill>
              <a:srgbClr val="808080"/>
            </a:solidFill>
            <a:ln w="12700">
              <a:solidFill>
                <a:srgbClr val="000000"/>
              </a:solidFill>
              <a:prstDash val="solid"/>
            </a:ln>
          </c:spPr>
          <c:invertIfNegative val="0"/>
          <c:dLbls>
            <c:dLbl>
              <c:idx val="0"/>
              <c:spPr>
                <a:noFill/>
                <a:ln w="25400">
                  <a:noFill/>
                </a:ln>
              </c:spPr>
              <c:txPr>
                <a:bodyPr/>
                <a:lstStyle/>
                <a:p>
                  <a:pPr>
                    <a:defRPr sz="400" b="0" i="0" u="none" strike="noStrike" baseline="0">
                      <a:solidFill>
                        <a:srgbClr val="000000"/>
                      </a:solidFill>
                      <a:latin typeface="Calibri"/>
                      <a:ea typeface="Calibri"/>
                      <a:cs typeface="Calibri"/>
                    </a:defRPr>
                  </a:pPr>
                  <a:endParaRPr lang="en-US"/>
                </a:p>
              </c:txP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6427-49EB-B6EF-280D81ECB4EB}"/>
                </c:ext>
              </c:extLst>
            </c:dLbl>
            <c:dLbl>
              <c:idx val="1"/>
              <c:spPr>
                <a:noFill/>
                <a:ln w="25400">
                  <a:noFill/>
                </a:ln>
              </c:spPr>
              <c:txPr>
                <a:bodyPr/>
                <a:lstStyle/>
                <a:p>
                  <a:pPr>
                    <a:defRPr sz="400" b="0" i="0" u="none" strike="noStrike" baseline="0">
                      <a:solidFill>
                        <a:srgbClr val="000000"/>
                      </a:solidFill>
                      <a:latin typeface="Calibri"/>
                      <a:ea typeface="Calibri"/>
                      <a:cs typeface="Calibri"/>
                    </a:defRPr>
                  </a:pPr>
                  <a:endParaRPr lang="en-US"/>
                </a:p>
              </c:txP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6427-49EB-B6EF-280D81ECB4EB}"/>
                </c:ext>
              </c:extLst>
            </c:dLbl>
            <c:dLbl>
              <c:idx val="2"/>
              <c:spPr>
                <a:noFill/>
                <a:ln w="25400">
                  <a:noFill/>
                </a:ln>
              </c:spPr>
              <c:txPr>
                <a:bodyPr/>
                <a:lstStyle/>
                <a:p>
                  <a:pPr>
                    <a:defRPr sz="400" b="0" i="0" u="none" strike="noStrike" baseline="0">
                      <a:solidFill>
                        <a:srgbClr val="000000"/>
                      </a:solidFill>
                      <a:latin typeface="Calibri"/>
                      <a:ea typeface="Calibri"/>
                      <a:cs typeface="Calibri"/>
                    </a:defRPr>
                  </a:pPr>
                  <a:endParaRPr lang="en-US"/>
                </a:p>
              </c:txP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6427-49EB-B6EF-280D81ECB4EB}"/>
                </c:ext>
              </c:extLst>
            </c:dLbl>
            <c:dLbl>
              <c:idx val="3"/>
              <c:layout>
                <c:manualLayout>
                  <c:x val="-6.3537225529736174E-3"/>
                  <c:y val="-1.6854196436797142E-2"/>
                </c:manualLayout>
              </c:layout>
              <c:spPr>
                <a:noFill/>
                <a:ln w="25400">
                  <a:noFill/>
                </a:ln>
              </c:spPr>
              <c:txPr>
                <a:bodyPr/>
                <a:lstStyle/>
                <a:p>
                  <a:pPr>
                    <a:defRPr sz="400" b="0" i="0" u="none" strike="noStrike" baseline="0">
                      <a:solidFill>
                        <a:srgbClr val="000000"/>
                      </a:solidFill>
                      <a:latin typeface="Calibri"/>
                      <a:ea typeface="Calibri"/>
                      <a:cs typeface="Calibri"/>
                    </a:defRPr>
                  </a:pPr>
                  <a:endParaRPr lang="en-US"/>
                </a:p>
              </c:txPr>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6427-49EB-B6EF-280D81ECB4EB}"/>
                </c:ext>
              </c:extLst>
            </c:dLbl>
            <c:dLbl>
              <c:idx val="4"/>
              <c:spPr>
                <a:noFill/>
                <a:ln w="25400">
                  <a:noFill/>
                </a:ln>
              </c:spPr>
              <c:txPr>
                <a:bodyPr/>
                <a:lstStyle/>
                <a:p>
                  <a:pPr>
                    <a:defRPr sz="400" b="0" i="0" u="none" strike="noStrike" baseline="0">
                      <a:solidFill>
                        <a:srgbClr val="000000"/>
                      </a:solidFill>
                      <a:latin typeface="Calibri"/>
                      <a:ea typeface="Calibri"/>
                      <a:cs typeface="Calibri"/>
                    </a:defRPr>
                  </a:pPr>
                  <a:endParaRPr lang="en-US"/>
                </a:p>
              </c:txP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6427-49EB-B6EF-280D81ECB4EB}"/>
                </c:ext>
              </c:extLst>
            </c:dLbl>
            <c:dLbl>
              <c:idx val="5"/>
              <c:spPr>
                <a:noFill/>
                <a:ln w="25400">
                  <a:noFill/>
                </a:ln>
              </c:spPr>
              <c:txPr>
                <a:bodyPr/>
                <a:lstStyle/>
                <a:p>
                  <a:pPr>
                    <a:defRPr sz="400" b="0" i="0" u="none" strike="noStrike" baseline="0">
                      <a:solidFill>
                        <a:srgbClr val="000000"/>
                      </a:solidFill>
                      <a:latin typeface="Calibri"/>
                      <a:ea typeface="Calibri"/>
                      <a:cs typeface="Calibri"/>
                    </a:defRPr>
                  </a:pPr>
                  <a:endParaRPr lang="en-US"/>
                </a:p>
              </c:txP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6427-49EB-B6EF-280D81ECB4EB}"/>
                </c:ext>
              </c:extLst>
            </c:dLbl>
            <c:spPr>
              <a:noFill/>
              <a:ln>
                <a:noFill/>
              </a:ln>
              <a:effectLst/>
            </c:sp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0"/>
              </c:ext>
            </c:extLst>
          </c:dLbls>
          <c:cat>
            <c:strRef>
              <c:f>Sheet1!$B$1:$G$1</c:f>
              <c:strCache>
                <c:ptCount val="6"/>
                <c:pt idx="0">
                  <c:v>female*</c:v>
                </c:pt>
                <c:pt idx="1">
                  <c:v>male</c:v>
                </c:pt>
                <c:pt idx="2">
                  <c:v>female</c:v>
                </c:pt>
                <c:pt idx="3">
                  <c:v>male</c:v>
                </c:pt>
                <c:pt idx="4">
                  <c:v>female</c:v>
                </c:pt>
                <c:pt idx="5">
                  <c:v>male</c:v>
                </c:pt>
              </c:strCache>
            </c:strRef>
          </c:cat>
          <c:val>
            <c:numRef>
              <c:f>Sheet1!$B$2:$G$2</c:f>
              <c:numCache>
                <c:formatCode>General</c:formatCode>
                <c:ptCount val="6"/>
                <c:pt idx="0">
                  <c:v>15.09</c:v>
                </c:pt>
                <c:pt idx="1">
                  <c:v>17.829999999999998</c:v>
                </c:pt>
                <c:pt idx="2">
                  <c:v>20.36</c:v>
                </c:pt>
                <c:pt idx="3">
                  <c:v>21.16</c:v>
                </c:pt>
                <c:pt idx="4">
                  <c:v>35.450000000000003</c:v>
                </c:pt>
                <c:pt idx="5" formatCode="0.00">
                  <c:v>39</c:v>
                </c:pt>
              </c:numCache>
            </c:numRef>
          </c:val>
          <c:extLst xmlns:c16r2="http://schemas.microsoft.com/office/drawing/2015/06/chart">
            <c:ext xmlns:c16="http://schemas.microsoft.com/office/drawing/2014/chart" uri="{C3380CC4-5D6E-409C-BE32-E72D297353CC}">
              <c16:uniqueId val="{00000006-6427-49EB-B6EF-280D81ECB4EB}"/>
            </c:ext>
          </c:extLst>
        </c:ser>
        <c:ser>
          <c:idx val="1"/>
          <c:order val="1"/>
          <c:tx>
            <c:strRef>
              <c:f>Sheet1!$A$3</c:f>
              <c:strCache>
                <c:ptCount val="1"/>
                <c:pt idx="0">
                  <c:v>CMS</c:v>
                </c:pt>
              </c:strCache>
            </c:strRef>
          </c:tx>
          <c:spPr>
            <a:solidFill>
              <a:srgbClr val="C0C0C0"/>
            </a:solidFill>
            <a:ln w="12700">
              <a:solidFill>
                <a:srgbClr val="000000"/>
              </a:solidFill>
              <a:prstDash val="solid"/>
            </a:ln>
          </c:spPr>
          <c:invertIfNegative val="0"/>
          <c:dLbls>
            <c:dLbl>
              <c:idx val="0"/>
              <c:layout>
                <c:manualLayout>
                  <c:x val="4.6582805198130683E-3"/>
                  <c:y val="-1.5876618858041702E-3"/>
                </c:manualLayout>
              </c:layout>
              <c:spPr>
                <a:noFill/>
                <a:ln w="25400">
                  <a:noFill/>
                </a:ln>
              </c:spPr>
              <c:txPr>
                <a:bodyPr/>
                <a:lstStyle/>
                <a:p>
                  <a:pPr>
                    <a:defRPr sz="400" b="0" i="0" u="none" strike="noStrike" baseline="0">
                      <a:solidFill>
                        <a:srgbClr val="000000"/>
                      </a:solidFill>
                      <a:latin typeface="Calibri"/>
                      <a:ea typeface="Calibri"/>
                      <a:cs typeface="Calibri"/>
                    </a:defRPr>
                  </a:pPr>
                  <a:endParaRPr lang="en-US"/>
                </a:p>
              </c:txPr>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C-6427-49EB-B6EF-280D81ECB4EB}"/>
                </c:ext>
              </c:extLst>
            </c:dLbl>
            <c:dLbl>
              <c:idx val="1"/>
              <c:layout>
                <c:manualLayout>
                  <c:x val="5.0750592151591056E-3"/>
                  <c:y val="3.9233650685374655E-3"/>
                </c:manualLayout>
              </c:layout>
              <c:spPr>
                <a:noFill/>
                <a:ln w="25400">
                  <a:noFill/>
                </a:ln>
              </c:spPr>
              <c:txPr>
                <a:bodyPr/>
                <a:lstStyle/>
                <a:p>
                  <a:pPr>
                    <a:defRPr sz="400" b="0" i="0" u="none" strike="noStrike" baseline="0">
                      <a:solidFill>
                        <a:srgbClr val="000000"/>
                      </a:solidFill>
                      <a:latin typeface="Calibri"/>
                      <a:ea typeface="Calibri"/>
                      <a:cs typeface="Calibri"/>
                    </a:defRPr>
                  </a:pPr>
                  <a:endParaRPr lang="en-US"/>
                </a:p>
              </c:txPr>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B-6427-49EB-B6EF-280D81ECB4EB}"/>
                </c:ext>
              </c:extLst>
            </c:dLbl>
            <c:dLbl>
              <c:idx val="2"/>
              <c:layout>
                <c:manualLayout>
                  <c:x val="1.0491581844952302E-2"/>
                  <c:y val="4.9259152538718709E-3"/>
                </c:manualLayout>
              </c:layout>
              <c:spPr>
                <a:noFill/>
                <a:ln w="25400">
                  <a:noFill/>
                </a:ln>
              </c:spPr>
              <c:txPr>
                <a:bodyPr/>
                <a:lstStyle/>
                <a:p>
                  <a:pPr>
                    <a:defRPr sz="400" b="0" i="0" u="none" strike="noStrike" baseline="0">
                      <a:solidFill>
                        <a:srgbClr val="000000"/>
                      </a:solidFill>
                      <a:latin typeface="Calibri"/>
                      <a:ea typeface="Calibri"/>
                      <a:cs typeface="Calibri"/>
                    </a:defRPr>
                  </a:pPr>
                  <a:endParaRPr lang="en-US"/>
                </a:p>
              </c:txPr>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A-6427-49EB-B6EF-280D81ECB4EB}"/>
                </c:ext>
              </c:extLst>
            </c:dLbl>
            <c:dLbl>
              <c:idx val="3"/>
              <c:layout>
                <c:manualLayout>
                  <c:x val="5.9083605402983075E-3"/>
                  <c:y val="5.3773039385760502E-3"/>
                </c:manualLayout>
              </c:layout>
              <c:spPr>
                <a:noFill/>
                <a:ln w="25400">
                  <a:noFill/>
                </a:ln>
              </c:spPr>
              <c:txPr>
                <a:bodyPr/>
                <a:lstStyle/>
                <a:p>
                  <a:pPr>
                    <a:defRPr sz="400" b="0" i="0" u="none" strike="noStrike" baseline="0">
                      <a:solidFill>
                        <a:srgbClr val="000000"/>
                      </a:solidFill>
                      <a:latin typeface="Calibri"/>
                      <a:ea typeface="Calibri"/>
                      <a:cs typeface="Calibri"/>
                    </a:defRPr>
                  </a:pPr>
                  <a:endParaRPr lang="en-US"/>
                </a:p>
              </c:txPr>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9-6427-49EB-B6EF-280D81ECB4EB}"/>
                </c:ext>
              </c:extLst>
            </c:dLbl>
            <c:dLbl>
              <c:idx val="4"/>
              <c:layout>
                <c:manualLayout>
                  <c:x val="8.8248831700915575E-3"/>
                  <c:y val="-4.4821320411869703E-4"/>
                </c:manualLayout>
              </c:layout>
              <c:spPr>
                <a:noFill/>
                <a:ln w="25400">
                  <a:noFill/>
                </a:ln>
              </c:spPr>
              <c:txPr>
                <a:bodyPr/>
                <a:lstStyle/>
                <a:p>
                  <a:pPr>
                    <a:defRPr sz="400" b="0" i="0" u="none" strike="noStrike" baseline="0">
                      <a:solidFill>
                        <a:srgbClr val="000000"/>
                      </a:solidFill>
                      <a:latin typeface="Calibri"/>
                      <a:ea typeface="Calibri"/>
                      <a:cs typeface="Calibri"/>
                    </a:defRPr>
                  </a:pPr>
                  <a:endParaRPr lang="en-US"/>
                </a:p>
              </c:txPr>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8-6427-49EB-B6EF-280D81ECB4EB}"/>
                </c:ext>
              </c:extLst>
            </c:dLbl>
            <c:dLbl>
              <c:idx val="5"/>
              <c:layout>
                <c:manualLayout>
                  <c:x val="6.7416618654375648E-3"/>
                  <c:y val="5.5916684798268945E-3"/>
                </c:manualLayout>
              </c:layout>
              <c:spPr>
                <a:noFill/>
                <a:ln w="25400">
                  <a:noFill/>
                </a:ln>
              </c:spPr>
              <c:txPr>
                <a:bodyPr/>
                <a:lstStyle/>
                <a:p>
                  <a:pPr>
                    <a:defRPr sz="400" b="0" i="0" u="none" strike="noStrike" baseline="0">
                      <a:solidFill>
                        <a:srgbClr val="000000"/>
                      </a:solidFill>
                      <a:latin typeface="Calibri"/>
                      <a:ea typeface="Calibri"/>
                      <a:cs typeface="Calibri"/>
                    </a:defRPr>
                  </a:pPr>
                  <a:endParaRPr lang="en-US"/>
                </a:p>
              </c:txPr>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6427-49EB-B6EF-280D81ECB4EB}"/>
                </c:ext>
              </c:extLst>
            </c:dLbl>
            <c:spPr>
              <a:noFill/>
              <a:ln w="25400">
                <a:noFill/>
              </a:ln>
            </c:spPr>
            <c:txPr>
              <a:bodyPr wrap="square" lIns="38100" tIns="19050" rIns="38100" bIns="19050" anchor="ctr">
                <a:spAutoFit/>
              </a:bodyPr>
              <a:lstStyle/>
              <a:p>
                <a:pPr>
                  <a:defRPr sz="400" b="0" i="0" u="none" strike="noStrike" baseline="0">
                    <a:solidFill>
                      <a:srgbClr val="000000"/>
                    </a:solidFill>
                    <a:latin typeface="Calibri"/>
                    <a:ea typeface="Calibri"/>
                    <a:cs typeface="Calibri"/>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Sheet1!$B$1:$G$1</c:f>
              <c:strCache>
                <c:ptCount val="6"/>
                <c:pt idx="0">
                  <c:v>female*</c:v>
                </c:pt>
                <c:pt idx="1">
                  <c:v>male</c:v>
                </c:pt>
                <c:pt idx="2">
                  <c:v>female</c:v>
                </c:pt>
                <c:pt idx="3">
                  <c:v>male</c:v>
                </c:pt>
                <c:pt idx="4">
                  <c:v>female</c:v>
                </c:pt>
                <c:pt idx="5">
                  <c:v>male</c:v>
                </c:pt>
              </c:strCache>
            </c:strRef>
          </c:cat>
          <c:val>
            <c:numRef>
              <c:f>Sheet1!$B$3:$G$3</c:f>
              <c:numCache>
                <c:formatCode>0.00</c:formatCode>
                <c:ptCount val="6"/>
                <c:pt idx="0" formatCode="General">
                  <c:v>11.88</c:v>
                </c:pt>
                <c:pt idx="1">
                  <c:v>15.9</c:v>
                </c:pt>
                <c:pt idx="2">
                  <c:v>20</c:v>
                </c:pt>
                <c:pt idx="3" formatCode="General">
                  <c:v>20.72</c:v>
                </c:pt>
                <c:pt idx="4" formatCode="General">
                  <c:v>31.88</c:v>
                </c:pt>
                <c:pt idx="5" formatCode="General">
                  <c:v>36.630000000000003</c:v>
                </c:pt>
              </c:numCache>
            </c:numRef>
          </c:val>
          <c:extLst xmlns:c16r2="http://schemas.microsoft.com/office/drawing/2015/06/chart">
            <c:ext xmlns:c16="http://schemas.microsoft.com/office/drawing/2014/chart" uri="{C3380CC4-5D6E-409C-BE32-E72D297353CC}">
              <c16:uniqueId val="{0000000D-6427-49EB-B6EF-280D81ECB4EB}"/>
            </c:ext>
          </c:extLst>
        </c:ser>
        <c:dLbls>
          <c:showLegendKey val="0"/>
          <c:showVal val="0"/>
          <c:showCatName val="0"/>
          <c:showSerName val="0"/>
          <c:showPercent val="0"/>
          <c:showBubbleSize val="0"/>
        </c:dLbls>
        <c:gapWidth val="150"/>
        <c:axId val="117073408"/>
        <c:axId val="124006336"/>
      </c:barChart>
      <c:catAx>
        <c:axId val="117073408"/>
        <c:scaling>
          <c:orientation val="minMax"/>
        </c:scaling>
        <c:delete val="0"/>
        <c:axPos val="b"/>
        <c:title>
          <c:tx>
            <c:rich>
              <a:bodyPr/>
              <a:lstStyle/>
              <a:p>
                <a:pPr>
                  <a:defRPr sz="425" b="1" i="0" u="none" strike="noStrike" baseline="0">
                    <a:solidFill>
                      <a:srgbClr val="000000"/>
                    </a:solidFill>
                    <a:latin typeface="Calibri"/>
                    <a:ea typeface="Calibri"/>
                    <a:cs typeface="Calibri"/>
                  </a:defRPr>
                </a:pPr>
                <a:r>
                  <a:rPr lang="en-US"/>
                  <a:t> * </a:t>
                </a:r>
              </a:p>
            </c:rich>
          </c:tx>
          <c:layout>
            <c:manualLayout>
              <c:xMode val="edge"/>
              <c:yMode val="edge"/>
              <c:x val="0.47749999999999998"/>
              <c:y val="0.76410256410256405"/>
            </c:manualLayout>
          </c:layout>
          <c:overlay val="0"/>
          <c:spPr>
            <a:noFill/>
            <a:ln w="25400">
              <a:noFill/>
            </a:ln>
          </c:spPr>
        </c:title>
        <c:numFmt formatCode="&quot;ريال&quot;\ #,##0.00_-;[Red]&quot;ريال&quot;\ #,##0.00\-" sourceLinked="0"/>
        <c:majorTickMark val="out"/>
        <c:minorTickMark val="none"/>
        <c:tickLblPos val="nextTo"/>
        <c:spPr>
          <a:ln w="3175">
            <a:solidFill>
              <a:srgbClr val="000000"/>
            </a:solidFill>
            <a:prstDash val="solid"/>
          </a:ln>
        </c:spPr>
        <c:txPr>
          <a:bodyPr rot="0" vert="horz"/>
          <a:lstStyle/>
          <a:p>
            <a:pPr>
              <a:defRPr sz="400" b="0" i="0" u="none" strike="noStrike" baseline="0">
                <a:solidFill>
                  <a:srgbClr val="000000"/>
                </a:solidFill>
                <a:latin typeface="Calibri"/>
                <a:ea typeface="Calibri"/>
                <a:cs typeface="Calibri"/>
              </a:defRPr>
            </a:pPr>
            <a:endParaRPr lang="en-US"/>
          </a:p>
        </c:txPr>
        <c:crossAx val="124006336"/>
        <c:crosses val="autoZero"/>
        <c:auto val="1"/>
        <c:lblAlgn val="ctr"/>
        <c:lblOffset val="100"/>
        <c:tickLblSkip val="1"/>
        <c:tickMarkSkip val="1"/>
        <c:noMultiLvlLbl val="0"/>
      </c:catAx>
      <c:valAx>
        <c:axId val="124006336"/>
        <c:scaling>
          <c:orientation val="minMax"/>
          <c:max val="45"/>
        </c:scaling>
        <c:delete val="0"/>
        <c:axPos val="l"/>
        <c:numFmt formatCode="General" sourceLinked="1"/>
        <c:majorTickMark val="out"/>
        <c:minorTickMark val="none"/>
        <c:tickLblPos val="nextTo"/>
        <c:spPr>
          <a:ln w="3175">
            <a:solidFill>
              <a:srgbClr val="000000"/>
            </a:solidFill>
            <a:prstDash val="solid"/>
          </a:ln>
        </c:spPr>
        <c:txPr>
          <a:bodyPr rot="0" vert="horz"/>
          <a:lstStyle/>
          <a:p>
            <a:pPr>
              <a:defRPr sz="400" b="0" i="0" u="none" strike="noStrike" baseline="0">
                <a:solidFill>
                  <a:srgbClr val="000000"/>
                </a:solidFill>
                <a:latin typeface="Calibri"/>
                <a:ea typeface="Calibri"/>
                <a:cs typeface="Calibri"/>
              </a:defRPr>
            </a:pPr>
            <a:endParaRPr lang="en-US"/>
          </a:p>
        </c:txPr>
        <c:crossAx val="117073408"/>
        <c:crosses val="autoZero"/>
        <c:crossBetween val="between"/>
        <c:majorUnit val="5"/>
        <c:minorUnit val="5"/>
      </c:valAx>
      <c:spPr>
        <a:noFill/>
        <a:ln w="25400">
          <a:noFill/>
        </a:ln>
      </c:spPr>
    </c:plotArea>
    <c:legend>
      <c:legendPos val="t"/>
      <c:layout>
        <c:manualLayout>
          <c:xMode val="edge"/>
          <c:yMode val="edge"/>
          <c:x val="8.7499999999999994E-2"/>
          <c:y val="0.12307692307692308"/>
          <c:w val="0.185"/>
          <c:h val="0.10256410256410256"/>
        </c:manualLayout>
      </c:layout>
      <c:overlay val="0"/>
      <c:spPr>
        <a:solidFill>
          <a:srgbClr val="FFFFFF"/>
        </a:solidFill>
        <a:ln w="25400">
          <a:noFill/>
        </a:ln>
      </c:spPr>
      <c:txPr>
        <a:bodyPr/>
        <a:lstStyle/>
        <a:p>
          <a:pPr>
            <a:defRPr sz="735" b="0" i="0" u="none" strike="noStrike" baseline="0">
              <a:solidFill>
                <a:srgbClr val="000000"/>
              </a:solidFill>
              <a:latin typeface="Calibri"/>
              <a:ea typeface="Calibri"/>
              <a:cs typeface="Calibri"/>
            </a:defRPr>
          </a:pPr>
          <a:endParaRPr lang="en-US"/>
        </a:p>
      </c:txPr>
    </c:legend>
    <c:plotVisOnly val="1"/>
    <c:dispBlanksAs val="gap"/>
    <c:showDLblsOverMax val="0"/>
  </c:chart>
  <c:spPr>
    <a:noFill/>
    <a:ln>
      <a:noFill/>
    </a:ln>
  </c:spPr>
  <c:txPr>
    <a:bodyPr/>
    <a:lstStyle/>
    <a:p>
      <a:pPr>
        <a:defRPr sz="850" b="1" i="0" u="none" strike="noStrike" baseline="0">
          <a:solidFill>
            <a:srgbClr val="000000"/>
          </a:solidFill>
          <a:latin typeface="Calibri"/>
          <a:ea typeface="Calibri"/>
          <a:cs typeface="Calibri"/>
        </a:defRPr>
      </a:pPr>
      <a:endParaRPr lang="en-US"/>
    </a:p>
  </c:tx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0.1075</cdr:x>
      <cdr:y>0.61225</cdr:y>
    </cdr:from>
    <cdr:to>
      <cdr:x>0.90025</cdr:x>
      <cdr:y>0.7735</cdr:y>
    </cdr:to>
    <cdr:grpSp>
      <cdr:nvGrpSpPr>
        <cdr:cNvPr id="1037" name="Group 13"/>
        <cdr:cNvGrpSpPr>
          <a:grpSpLocks xmlns:a="http://schemas.openxmlformats.org/drawingml/2006/main"/>
        </cdr:cNvGrpSpPr>
      </cdr:nvGrpSpPr>
      <cdr:grpSpPr bwMode="auto">
        <a:xfrm xmlns:a="http://schemas.openxmlformats.org/drawingml/2006/main">
          <a:off x="409575" y="1137178"/>
          <a:ext cx="3020378" cy="299502"/>
          <a:chOff x="666733" y="2067458"/>
          <a:chExt cx="4486590" cy="554270"/>
        </a:xfrm>
      </cdr:grpSpPr>
      <cdr:sp macro="" textlink="">
        <cdr:nvSpPr>
          <cdr:cNvPr id="1025" name="Text Box 1"/>
          <cdr:cNvSpPr txBox="1">
            <a:spLocks xmlns:a="http://schemas.openxmlformats.org/drawingml/2006/main" noChangeArrowheads="1"/>
          </cdr:cNvSpPr>
        </cdr:nvSpPr>
        <cdr:spPr bwMode="auto">
          <a:xfrm xmlns:a="http://schemas.openxmlformats.org/drawingml/2006/main">
            <a:off x="1290818" y="2381998"/>
            <a:ext cx="277214" cy="192974"/>
          </a:xfrm>
          <a:prstGeom xmlns:a="http://schemas.openxmlformats.org/drawingml/2006/main" prst="rect">
            <a:avLst/>
          </a:prstGeom>
          <a:solidFill xmlns:a="http://schemas.openxmlformats.org/drawingml/2006/main">
            <a:srgbClr xmlns:mc="http://schemas.openxmlformats.org/markup-compatibility/2006" xmlns:a14="http://schemas.microsoft.com/office/drawing/2010/main" val="FFFFFF" mc:Ignorable="a14" a14:legacySpreadsheetColorIndex="65"/>
          </a:solidFill>
          <a:ln xmlns:a="http://schemas.openxmlformats.org/drawingml/2006/main">
            <a:noFill/>
          </a:ln>
          <a:extLst xmlns:a="http://schemas.openxmlformats.org/drawingml/2006/main">
            <a:ext uri="{91240B29-F687-4F45-9708-019B960494DF}">
              <a14:hiddenLine xmlns:a14="http://schemas.microsoft.com/office/drawing/2010/main" w="9525">
                <a:solidFill>
                  <a:srgbClr xmlns:mc="http://schemas.openxmlformats.org/markup-compatibility/2006" val="FFFFFF" mc:Ignorable="a14" a14:legacySpreadsheetColorIndex="9"/>
                </a:solidFill>
                <a:miter lim="800000"/>
                <a:headEnd/>
                <a:tailEnd/>
              </a14:hiddenLine>
            </a:ext>
          </a:extLst>
        </cdr:spPr>
        <cdr:txBody>
          <a:bodyPr xmlns:a="http://schemas.openxmlformats.org/drawingml/2006/main" vertOverflow="clip" wrap="square" lIns="27432" tIns="18288" rIns="0" bIns="0" anchor="t" upright="1"/>
          <a:lstStyle xmlns:a="http://schemas.openxmlformats.org/drawingml/2006/main"/>
          <a:p xmlns:a="http://schemas.openxmlformats.org/drawingml/2006/main">
            <a:pPr algn="l" rtl="0">
              <a:defRPr sz="1000"/>
            </a:pPr>
            <a:r>
              <a:rPr lang="en-US" sz="575" b="0" i="0" u="none" strike="noStrike" baseline="0">
                <a:solidFill>
                  <a:srgbClr val="000000"/>
                </a:solidFill>
                <a:latin typeface="Calibri"/>
                <a:cs typeface="Calibri"/>
              </a:rPr>
              <a:t>PCS</a:t>
            </a:r>
          </a:p>
        </cdr:txBody>
      </cdr:sp>
      <cdr:sp macro="" textlink="">
        <cdr:nvSpPr>
          <cdr:cNvPr id="1026" name="Text Box 2"/>
          <cdr:cNvSpPr txBox="1">
            <a:spLocks xmlns:a="http://schemas.openxmlformats.org/drawingml/2006/main" noChangeArrowheads="1"/>
          </cdr:cNvSpPr>
        </cdr:nvSpPr>
        <cdr:spPr bwMode="auto">
          <a:xfrm xmlns:a="http://schemas.openxmlformats.org/drawingml/2006/main">
            <a:off x="2787770" y="2381998"/>
            <a:ext cx="363931" cy="239730"/>
          </a:xfrm>
          <a:prstGeom xmlns:a="http://schemas.openxmlformats.org/drawingml/2006/main" prst="rect">
            <a:avLst/>
          </a:prstGeom>
          <a:solidFill xmlns:a="http://schemas.openxmlformats.org/drawingml/2006/main">
            <a:srgbClr xmlns:mc="http://schemas.openxmlformats.org/markup-compatibility/2006" xmlns:a14="http://schemas.microsoft.com/office/drawing/2010/main" val="FFFFFF" mc:Ignorable="a14" a14:legacySpreadsheetColorIndex="65"/>
          </a:solidFill>
          <a:ln xmlns:a="http://schemas.openxmlformats.org/drawingml/2006/main">
            <a:noFill/>
          </a:ln>
          <a:extLst xmlns:a="http://schemas.openxmlformats.org/drawingml/2006/main">
            <a:ext uri="{91240B29-F687-4F45-9708-019B960494DF}">
              <a14:hiddenLine xmlns:a14="http://schemas.microsoft.com/office/drawing/2010/main" w="9525">
                <a:solidFill>
                  <a:srgbClr xmlns:mc="http://schemas.openxmlformats.org/markup-compatibility/2006" val="FFFFFF" mc:Ignorable="a14" a14:legacySpreadsheetColorIndex="9"/>
                </a:solidFill>
                <a:miter lim="800000"/>
                <a:headEnd/>
                <a:tailEnd/>
              </a14:hiddenLine>
            </a:ext>
          </a:extLst>
        </cdr:spPr>
        <cdr:txBody>
          <a:bodyPr xmlns:a="http://schemas.openxmlformats.org/drawingml/2006/main" vertOverflow="clip" wrap="square" lIns="27432" tIns="27432" rIns="0" bIns="0" anchor="t" upright="1"/>
          <a:lstStyle xmlns:a="http://schemas.openxmlformats.org/drawingml/2006/main"/>
          <a:p xmlns:a="http://schemas.openxmlformats.org/drawingml/2006/main">
            <a:pPr algn="l" rtl="0">
              <a:defRPr sz="1000"/>
            </a:pPr>
            <a:r>
              <a:rPr lang="en-US" sz="1050" b="0" i="0" u="none" strike="noStrike" baseline="0">
                <a:solidFill>
                  <a:srgbClr val="000000"/>
                </a:solidFill>
                <a:latin typeface="Calibri"/>
                <a:cs typeface="Calibri"/>
              </a:rPr>
              <a:t>MCS</a:t>
            </a:r>
          </a:p>
        </cdr:txBody>
      </cdr:sp>
      <cdr:sp macro="" textlink="">
        <cdr:nvSpPr>
          <cdr:cNvPr id="1027" name="Text Box 3"/>
          <cdr:cNvSpPr txBox="1">
            <a:spLocks xmlns:a="http://schemas.openxmlformats.org/drawingml/2006/main" noChangeArrowheads="1"/>
          </cdr:cNvSpPr>
        </cdr:nvSpPr>
        <cdr:spPr bwMode="auto">
          <a:xfrm xmlns:a="http://schemas.openxmlformats.org/drawingml/2006/main">
            <a:off x="4371439" y="2379447"/>
            <a:ext cx="237408" cy="196375"/>
          </a:xfrm>
          <a:prstGeom xmlns:a="http://schemas.openxmlformats.org/drawingml/2006/main" prst="rect">
            <a:avLst/>
          </a:prstGeom>
          <a:solidFill xmlns:a="http://schemas.openxmlformats.org/drawingml/2006/main">
            <a:srgbClr xmlns:mc="http://schemas.openxmlformats.org/markup-compatibility/2006" xmlns:a14="http://schemas.microsoft.com/office/drawing/2010/main" val="FFFFFF" mc:Ignorable="a14" a14:legacySpreadsheetColorIndex="65"/>
          </a:solidFill>
          <a:ln xmlns:a="http://schemas.openxmlformats.org/drawingml/2006/main">
            <a:noFill/>
          </a:ln>
          <a:extLst xmlns:a="http://schemas.openxmlformats.org/drawingml/2006/main">
            <a:ext uri="{91240B29-F687-4F45-9708-019B960494DF}">
              <a14:hiddenLine xmlns:a14="http://schemas.microsoft.com/office/drawing/2010/main" w="9525">
                <a:solidFill>
                  <a:srgbClr xmlns:mc="http://schemas.openxmlformats.org/markup-compatibility/2006" val="FFFFFF" mc:Ignorable="a14" a14:legacySpreadsheetColorIndex="9"/>
                </a:solidFill>
                <a:miter lim="800000"/>
                <a:headEnd/>
                <a:tailEnd/>
              </a14:hiddenLine>
            </a:ext>
          </a:extLst>
        </cdr:spPr>
        <cdr:txBody>
          <a:bodyPr xmlns:a="http://schemas.openxmlformats.org/drawingml/2006/main" vertOverflow="clip" wrap="square" lIns="27432" tIns="27432" rIns="0" bIns="0" anchor="t" upright="1"/>
          <a:lstStyle xmlns:a="http://schemas.openxmlformats.org/drawingml/2006/main"/>
          <a:p xmlns:a="http://schemas.openxmlformats.org/drawingml/2006/main">
            <a:pPr algn="l" rtl="0">
              <a:defRPr sz="1000"/>
            </a:pPr>
            <a:r>
              <a:rPr lang="en-US" sz="1050" b="0" i="0" u="none" strike="noStrike" baseline="0">
                <a:solidFill>
                  <a:srgbClr val="000000"/>
                </a:solidFill>
                <a:latin typeface="Calibri"/>
                <a:cs typeface="Calibri"/>
              </a:rPr>
              <a:t>TS</a:t>
            </a:r>
          </a:p>
        </cdr:txBody>
      </cdr:sp>
      <cdr:sp macro="" textlink="">
        <cdr:nvSpPr>
          <cdr:cNvPr id="1032" name="Line 8"/>
          <cdr:cNvSpPr>
            <a:spLocks xmlns:a="http://schemas.openxmlformats.org/drawingml/2006/main" noChangeShapeType="1"/>
          </cdr:cNvSpPr>
        </cdr:nvSpPr>
        <cdr:spPr bwMode="auto">
          <a:xfrm xmlns:a="http://schemas.openxmlformats.org/drawingml/2006/main">
            <a:off x="666733" y="2067458"/>
            <a:ext cx="0" cy="382548"/>
          </a:xfrm>
          <a:prstGeom xmlns:a="http://schemas.openxmlformats.org/drawingml/2006/main" prst="line">
            <a:avLst/>
          </a:prstGeom>
          <a:noFill xmlns:a="http://schemas.openxmlformats.org/drawingml/2006/main"/>
          <a:ln xmlns:a="http://schemas.openxmlformats.org/drawingml/2006/main" w="12700">
            <a:solidFill>
              <a:srgbClr xmlns:mc="http://schemas.openxmlformats.org/markup-compatibility/2006" xmlns:a14="http://schemas.microsoft.com/office/drawing/2010/main" val="000000" mc:Ignorable="a14" a14:legacySpreadsheetColorIndex="64"/>
            </a:solidFill>
            <a:round/>
            <a:headEnd/>
            <a:tailEnd/>
          </a:ln>
          <a:extLst xmlns:a="http://schemas.openxmlformats.org/drawingml/2006/main">
            <a:ext uri="{909E8E84-426E-40DD-AFC4-6F175D3DCCD1}">
              <a14:hiddenFill xmlns:a14="http://schemas.microsoft.com/office/drawing/2010/main">
                <a:noFill/>
              </a14:hiddenFill>
            </a:ext>
          </a:extLst>
        </cdr:spPr>
      </cdr:sp>
      <cdr:sp macro="" textlink="">
        <cdr:nvSpPr>
          <cdr:cNvPr id="1034" name="Line 10"/>
          <cdr:cNvSpPr>
            <a:spLocks xmlns:a="http://schemas.openxmlformats.org/drawingml/2006/main" noChangeShapeType="1"/>
          </cdr:cNvSpPr>
        </cdr:nvSpPr>
        <cdr:spPr bwMode="auto">
          <a:xfrm xmlns:a="http://schemas.openxmlformats.org/drawingml/2006/main">
            <a:off x="2160842" y="2067458"/>
            <a:ext cx="0" cy="382548"/>
          </a:xfrm>
          <a:prstGeom xmlns:a="http://schemas.openxmlformats.org/drawingml/2006/main" prst="line">
            <a:avLst/>
          </a:prstGeom>
          <a:noFill xmlns:a="http://schemas.openxmlformats.org/drawingml/2006/main"/>
          <a:ln xmlns:a="http://schemas.openxmlformats.org/drawingml/2006/main" w="12700">
            <a:solidFill>
              <a:srgbClr xmlns:mc="http://schemas.openxmlformats.org/markup-compatibility/2006" xmlns:a14="http://schemas.microsoft.com/office/drawing/2010/main" val="000000" mc:Ignorable="a14" a14:legacySpreadsheetColorIndex="64"/>
            </a:solidFill>
            <a:round/>
            <a:headEnd/>
            <a:tailEnd/>
          </a:ln>
          <a:extLst xmlns:a="http://schemas.openxmlformats.org/drawingml/2006/main">
            <a:ext uri="{909E8E84-426E-40DD-AFC4-6F175D3DCCD1}">
              <a14:hiddenFill xmlns:a14="http://schemas.microsoft.com/office/drawing/2010/main">
                <a:noFill/>
              </a14:hiddenFill>
            </a:ext>
          </a:extLst>
        </cdr:spPr>
      </cdr:sp>
      <cdr:sp macro="" textlink="">
        <cdr:nvSpPr>
          <cdr:cNvPr id="1035" name="Line 11"/>
          <cdr:cNvSpPr>
            <a:spLocks xmlns:a="http://schemas.openxmlformats.org/drawingml/2006/main" noChangeShapeType="1"/>
          </cdr:cNvSpPr>
        </cdr:nvSpPr>
        <cdr:spPr bwMode="auto">
          <a:xfrm xmlns:a="http://schemas.openxmlformats.org/drawingml/2006/main">
            <a:off x="3657793" y="2067458"/>
            <a:ext cx="0" cy="382548"/>
          </a:xfrm>
          <a:prstGeom xmlns:a="http://schemas.openxmlformats.org/drawingml/2006/main" prst="line">
            <a:avLst/>
          </a:prstGeom>
          <a:noFill xmlns:a="http://schemas.openxmlformats.org/drawingml/2006/main"/>
          <a:ln xmlns:a="http://schemas.openxmlformats.org/drawingml/2006/main" w="12700">
            <a:solidFill>
              <a:srgbClr xmlns:mc="http://schemas.openxmlformats.org/markup-compatibility/2006" xmlns:a14="http://schemas.microsoft.com/office/drawing/2010/main" val="000000" mc:Ignorable="a14" a14:legacySpreadsheetColorIndex="64"/>
            </a:solidFill>
            <a:round/>
            <a:headEnd/>
            <a:tailEnd/>
          </a:ln>
          <a:extLst xmlns:a="http://schemas.openxmlformats.org/drawingml/2006/main">
            <a:ext uri="{909E8E84-426E-40DD-AFC4-6F175D3DCCD1}">
              <a14:hiddenFill xmlns:a14="http://schemas.microsoft.com/office/drawing/2010/main">
                <a:noFill/>
              </a14:hiddenFill>
            </a:ext>
          </a:extLst>
        </cdr:spPr>
      </cdr:sp>
      <cdr:sp macro="" textlink="">
        <cdr:nvSpPr>
          <cdr:cNvPr id="1036" name="Line 12"/>
          <cdr:cNvSpPr>
            <a:spLocks xmlns:a="http://schemas.openxmlformats.org/drawingml/2006/main" noChangeShapeType="1"/>
          </cdr:cNvSpPr>
        </cdr:nvSpPr>
        <cdr:spPr bwMode="auto">
          <a:xfrm xmlns:a="http://schemas.openxmlformats.org/drawingml/2006/main">
            <a:off x="5153323" y="2067458"/>
            <a:ext cx="0" cy="382548"/>
          </a:xfrm>
          <a:prstGeom xmlns:a="http://schemas.openxmlformats.org/drawingml/2006/main" prst="line">
            <a:avLst/>
          </a:prstGeom>
          <a:noFill xmlns:a="http://schemas.openxmlformats.org/drawingml/2006/main"/>
          <a:ln xmlns:a="http://schemas.openxmlformats.org/drawingml/2006/main" w="12700">
            <a:solidFill>
              <a:srgbClr xmlns:mc="http://schemas.openxmlformats.org/markup-compatibility/2006" xmlns:a14="http://schemas.microsoft.com/office/drawing/2010/main" val="000000" mc:Ignorable="a14" a14:legacySpreadsheetColorIndex="64"/>
            </a:solidFill>
            <a:round/>
            <a:headEnd/>
            <a:tailEnd/>
          </a:ln>
          <a:extLst xmlns:a="http://schemas.openxmlformats.org/drawingml/2006/main">
            <a:ext uri="{909E8E84-426E-40DD-AFC4-6F175D3DCCD1}">
              <a14:hiddenFill xmlns:a14="http://schemas.microsoft.com/office/drawing/2010/main">
                <a:noFill/>
              </a14:hiddenFill>
            </a:ext>
          </a:extLst>
        </cdr:spPr>
      </cdr:sp>
    </cdr:grpSp>
  </cdr:relSizeAnchor>
  <cdr:relSizeAnchor xmlns:cdr="http://schemas.openxmlformats.org/drawingml/2006/chartDrawing">
    <cdr:from>
      <cdr:x>0.1075</cdr:x>
      <cdr:y>0.6065</cdr:y>
    </cdr:from>
    <cdr:to>
      <cdr:x>0.90025</cdr:x>
      <cdr:y>0.7675</cdr:y>
    </cdr:to>
    <cdr:grpSp>
      <cdr:nvGrpSpPr>
        <cdr:cNvPr id="1038" name="Group 14"/>
        <cdr:cNvGrpSpPr>
          <a:grpSpLocks xmlns:a="http://schemas.openxmlformats.org/drawingml/2006/main"/>
        </cdr:cNvGrpSpPr>
      </cdr:nvGrpSpPr>
      <cdr:grpSpPr bwMode="auto">
        <a:xfrm xmlns:a="http://schemas.openxmlformats.org/drawingml/2006/main">
          <a:off x="409575" y="1126498"/>
          <a:ext cx="3020378" cy="299037"/>
          <a:chOff x="666733" y="2067458"/>
          <a:chExt cx="4486590" cy="554270"/>
        </a:xfrm>
      </cdr:grpSpPr>
      <cdr:sp macro="" textlink="">
        <cdr:nvSpPr>
          <cdr:cNvPr id="1039" name="Text Box 15"/>
          <cdr:cNvSpPr txBox="1">
            <a:spLocks xmlns:a="http://schemas.openxmlformats.org/drawingml/2006/main" noChangeArrowheads="1"/>
          </cdr:cNvSpPr>
        </cdr:nvSpPr>
        <cdr:spPr bwMode="auto">
          <a:xfrm xmlns:a="http://schemas.openxmlformats.org/drawingml/2006/main">
            <a:off x="1290818" y="2381998"/>
            <a:ext cx="277214" cy="192974"/>
          </a:xfrm>
          <a:prstGeom xmlns:a="http://schemas.openxmlformats.org/drawingml/2006/main" prst="rect">
            <a:avLst/>
          </a:prstGeom>
          <a:solidFill xmlns:a="http://schemas.openxmlformats.org/drawingml/2006/main">
            <a:srgbClr xmlns:mc="http://schemas.openxmlformats.org/markup-compatibility/2006" xmlns:a14="http://schemas.microsoft.com/office/drawing/2010/main" val="FFFFFF" mc:Ignorable="a14" a14:legacySpreadsheetColorIndex="65"/>
          </a:solidFill>
          <a:ln xmlns:a="http://schemas.openxmlformats.org/drawingml/2006/main">
            <a:noFill/>
          </a:ln>
          <a:extLst xmlns:a="http://schemas.openxmlformats.org/drawingml/2006/main">
            <a:ext uri="{91240B29-F687-4F45-9708-019B960494DF}">
              <a14:hiddenLine xmlns:a14="http://schemas.microsoft.com/office/drawing/2010/main" w="9525">
                <a:solidFill>
                  <a:srgbClr xmlns:mc="http://schemas.openxmlformats.org/markup-compatibility/2006" val="FFFFFF" mc:Ignorable="a14" a14:legacySpreadsheetColorIndex="9"/>
                </a:solidFill>
                <a:miter lim="800000"/>
                <a:headEnd/>
                <a:tailEnd/>
              </a14:hiddenLine>
            </a:ext>
          </a:extLst>
        </cdr:spPr>
        <cdr:txBody>
          <a:bodyPr xmlns:a="http://schemas.openxmlformats.org/drawingml/2006/main" vertOverflow="clip" wrap="square" lIns="18288" tIns="18288" rIns="0" bIns="0" anchor="t" upright="1"/>
          <a:lstStyle xmlns:a="http://schemas.openxmlformats.org/drawingml/2006/main"/>
          <a:p xmlns:a="http://schemas.openxmlformats.org/drawingml/2006/main">
            <a:pPr algn="l" rtl="0">
              <a:defRPr sz="1000"/>
            </a:pPr>
            <a:r>
              <a:rPr lang="en-US" sz="400" b="0" i="0" u="none" strike="noStrike" baseline="0">
                <a:solidFill>
                  <a:srgbClr val="000000"/>
                </a:solidFill>
                <a:latin typeface="Calibri"/>
                <a:cs typeface="Calibri"/>
              </a:rPr>
              <a:t>PCS</a:t>
            </a:r>
          </a:p>
        </cdr:txBody>
      </cdr:sp>
      <cdr:sp macro="" textlink="">
        <cdr:nvSpPr>
          <cdr:cNvPr id="1040" name="Text Box 16"/>
          <cdr:cNvSpPr txBox="1">
            <a:spLocks xmlns:a="http://schemas.openxmlformats.org/drawingml/2006/main" noChangeArrowheads="1"/>
          </cdr:cNvSpPr>
        </cdr:nvSpPr>
        <cdr:spPr bwMode="auto">
          <a:xfrm xmlns:a="http://schemas.openxmlformats.org/drawingml/2006/main">
            <a:off x="2787770" y="2381998"/>
            <a:ext cx="363931" cy="239730"/>
          </a:xfrm>
          <a:prstGeom xmlns:a="http://schemas.openxmlformats.org/drawingml/2006/main" prst="rect">
            <a:avLst/>
          </a:prstGeom>
          <a:solidFill xmlns:a="http://schemas.openxmlformats.org/drawingml/2006/main">
            <a:srgbClr xmlns:mc="http://schemas.openxmlformats.org/markup-compatibility/2006" xmlns:a14="http://schemas.microsoft.com/office/drawing/2010/main" val="FFFFFF" mc:Ignorable="a14" a14:legacySpreadsheetColorIndex="65"/>
          </a:solidFill>
          <a:ln xmlns:a="http://schemas.openxmlformats.org/drawingml/2006/main">
            <a:noFill/>
          </a:ln>
          <a:extLst xmlns:a="http://schemas.openxmlformats.org/drawingml/2006/main">
            <a:ext uri="{91240B29-F687-4F45-9708-019B960494DF}">
              <a14:hiddenLine xmlns:a14="http://schemas.microsoft.com/office/drawing/2010/main" w="9525">
                <a:solidFill>
                  <a:srgbClr xmlns:mc="http://schemas.openxmlformats.org/markup-compatibility/2006" val="FFFFFF" mc:Ignorable="a14" a14:legacySpreadsheetColorIndex="9"/>
                </a:solidFill>
                <a:miter lim="800000"/>
                <a:headEnd/>
                <a:tailEnd/>
              </a14:hiddenLine>
            </a:ext>
          </a:extLst>
        </cdr:spPr>
        <cdr:txBody>
          <a:bodyPr xmlns:a="http://schemas.openxmlformats.org/drawingml/2006/main" vertOverflow="clip" wrap="square" lIns="27432" tIns="18288" rIns="0" bIns="0" anchor="t" upright="1"/>
          <a:lstStyle xmlns:a="http://schemas.openxmlformats.org/drawingml/2006/main"/>
          <a:p xmlns:a="http://schemas.openxmlformats.org/drawingml/2006/main">
            <a:pPr algn="l" rtl="0">
              <a:defRPr sz="1000"/>
            </a:pPr>
            <a:r>
              <a:rPr lang="en-US" sz="750" b="0" i="0" u="none" strike="noStrike" baseline="0">
                <a:solidFill>
                  <a:srgbClr val="000000"/>
                </a:solidFill>
                <a:latin typeface="Calibri"/>
                <a:cs typeface="Calibri"/>
              </a:rPr>
              <a:t>MCS</a:t>
            </a:r>
          </a:p>
        </cdr:txBody>
      </cdr:sp>
      <cdr:sp macro="" textlink="">
        <cdr:nvSpPr>
          <cdr:cNvPr id="1041" name="Text Box 17"/>
          <cdr:cNvSpPr txBox="1">
            <a:spLocks xmlns:a="http://schemas.openxmlformats.org/drawingml/2006/main" noChangeArrowheads="1"/>
          </cdr:cNvSpPr>
        </cdr:nvSpPr>
        <cdr:spPr bwMode="auto">
          <a:xfrm xmlns:a="http://schemas.openxmlformats.org/drawingml/2006/main">
            <a:off x="4371439" y="2379447"/>
            <a:ext cx="237408" cy="196375"/>
          </a:xfrm>
          <a:prstGeom xmlns:a="http://schemas.openxmlformats.org/drawingml/2006/main" prst="rect">
            <a:avLst/>
          </a:prstGeom>
          <a:solidFill xmlns:a="http://schemas.openxmlformats.org/drawingml/2006/main">
            <a:srgbClr xmlns:mc="http://schemas.openxmlformats.org/markup-compatibility/2006" xmlns:a14="http://schemas.microsoft.com/office/drawing/2010/main" val="FFFFFF" mc:Ignorable="a14" a14:legacySpreadsheetColorIndex="65"/>
          </a:solidFill>
          <a:ln xmlns:a="http://schemas.openxmlformats.org/drawingml/2006/main">
            <a:noFill/>
          </a:ln>
          <a:extLst xmlns:a="http://schemas.openxmlformats.org/drawingml/2006/main">
            <a:ext uri="{91240B29-F687-4F45-9708-019B960494DF}">
              <a14:hiddenLine xmlns:a14="http://schemas.microsoft.com/office/drawing/2010/main" w="9525">
                <a:solidFill>
                  <a:srgbClr xmlns:mc="http://schemas.openxmlformats.org/markup-compatibility/2006" val="FFFFFF" mc:Ignorable="a14" a14:legacySpreadsheetColorIndex="9"/>
                </a:solidFill>
                <a:miter lim="800000"/>
                <a:headEnd/>
                <a:tailEnd/>
              </a14:hiddenLine>
            </a:ext>
          </a:extLst>
        </cdr:spPr>
        <cdr:txBody>
          <a:bodyPr xmlns:a="http://schemas.openxmlformats.org/drawingml/2006/main" vertOverflow="clip" wrap="square" lIns="27432" tIns="18288" rIns="0" bIns="0" anchor="t" upright="1"/>
          <a:lstStyle xmlns:a="http://schemas.openxmlformats.org/drawingml/2006/main"/>
          <a:p xmlns:a="http://schemas.openxmlformats.org/drawingml/2006/main">
            <a:pPr algn="l" rtl="0">
              <a:defRPr sz="1000"/>
            </a:pPr>
            <a:r>
              <a:rPr lang="en-US" sz="750" b="0" i="0" u="none" strike="noStrike" baseline="0">
                <a:solidFill>
                  <a:srgbClr val="000000"/>
                </a:solidFill>
                <a:latin typeface="Calibri"/>
                <a:cs typeface="Calibri"/>
              </a:rPr>
              <a:t>TS</a:t>
            </a:r>
          </a:p>
        </cdr:txBody>
      </cdr:sp>
      <cdr:sp macro="" textlink="">
        <cdr:nvSpPr>
          <cdr:cNvPr id="1042" name="Line 18"/>
          <cdr:cNvSpPr>
            <a:spLocks xmlns:a="http://schemas.openxmlformats.org/drawingml/2006/main" noChangeShapeType="1"/>
          </cdr:cNvSpPr>
        </cdr:nvSpPr>
        <cdr:spPr bwMode="auto">
          <a:xfrm xmlns:a="http://schemas.openxmlformats.org/drawingml/2006/main">
            <a:off x="666733" y="2067458"/>
            <a:ext cx="0" cy="382548"/>
          </a:xfrm>
          <a:prstGeom xmlns:a="http://schemas.openxmlformats.org/drawingml/2006/main" prst="line">
            <a:avLst/>
          </a:prstGeom>
          <a:noFill xmlns:a="http://schemas.openxmlformats.org/drawingml/2006/main"/>
          <a:ln xmlns:a="http://schemas.openxmlformats.org/drawingml/2006/main" w="12700">
            <a:solidFill>
              <a:srgbClr xmlns:mc="http://schemas.openxmlformats.org/markup-compatibility/2006" xmlns:a14="http://schemas.microsoft.com/office/drawing/2010/main" val="000000" mc:Ignorable="a14" a14:legacySpreadsheetColorIndex="64"/>
            </a:solidFill>
            <a:round/>
            <a:headEnd/>
            <a:tailEnd/>
          </a:ln>
          <a:extLst xmlns:a="http://schemas.openxmlformats.org/drawingml/2006/main">
            <a:ext uri="{909E8E84-426E-40DD-AFC4-6F175D3DCCD1}">
              <a14:hiddenFill xmlns:a14="http://schemas.microsoft.com/office/drawing/2010/main">
                <a:noFill/>
              </a14:hiddenFill>
            </a:ext>
          </a:extLst>
        </cdr:spPr>
      </cdr:sp>
      <cdr:sp macro="" textlink="">
        <cdr:nvSpPr>
          <cdr:cNvPr id="1043" name="Line 19"/>
          <cdr:cNvSpPr>
            <a:spLocks xmlns:a="http://schemas.openxmlformats.org/drawingml/2006/main" noChangeShapeType="1"/>
          </cdr:cNvSpPr>
        </cdr:nvSpPr>
        <cdr:spPr bwMode="auto">
          <a:xfrm xmlns:a="http://schemas.openxmlformats.org/drawingml/2006/main">
            <a:off x="2160842" y="2067458"/>
            <a:ext cx="0" cy="382548"/>
          </a:xfrm>
          <a:prstGeom xmlns:a="http://schemas.openxmlformats.org/drawingml/2006/main" prst="line">
            <a:avLst/>
          </a:prstGeom>
          <a:noFill xmlns:a="http://schemas.openxmlformats.org/drawingml/2006/main"/>
          <a:ln xmlns:a="http://schemas.openxmlformats.org/drawingml/2006/main" w="12700">
            <a:solidFill>
              <a:srgbClr xmlns:mc="http://schemas.openxmlformats.org/markup-compatibility/2006" xmlns:a14="http://schemas.microsoft.com/office/drawing/2010/main" val="000000" mc:Ignorable="a14" a14:legacySpreadsheetColorIndex="64"/>
            </a:solidFill>
            <a:round/>
            <a:headEnd/>
            <a:tailEnd/>
          </a:ln>
          <a:extLst xmlns:a="http://schemas.openxmlformats.org/drawingml/2006/main">
            <a:ext uri="{909E8E84-426E-40DD-AFC4-6F175D3DCCD1}">
              <a14:hiddenFill xmlns:a14="http://schemas.microsoft.com/office/drawing/2010/main">
                <a:noFill/>
              </a14:hiddenFill>
            </a:ext>
          </a:extLst>
        </cdr:spPr>
      </cdr:sp>
      <cdr:sp macro="" textlink="">
        <cdr:nvSpPr>
          <cdr:cNvPr id="1044" name="Line 20"/>
          <cdr:cNvSpPr>
            <a:spLocks xmlns:a="http://schemas.openxmlformats.org/drawingml/2006/main" noChangeShapeType="1"/>
          </cdr:cNvSpPr>
        </cdr:nvSpPr>
        <cdr:spPr bwMode="auto">
          <a:xfrm xmlns:a="http://schemas.openxmlformats.org/drawingml/2006/main">
            <a:off x="3657793" y="2067458"/>
            <a:ext cx="0" cy="382548"/>
          </a:xfrm>
          <a:prstGeom xmlns:a="http://schemas.openxmlformats.org/drawingml/2006/main" prst="line">
            <a:avLst/>
          </a:prstGeom>
          <a:noFill xmlns:a="http://schemas.openxmlformats.org/drawingml/2006/main"/>
          <a:ln xmlns:a="http://schemas.openxmlformats.org/drawingml/2006/main" w="12700">
            <a:solidFill>
              <a:srgbClr xmlns:mc="http://schemas.openxmlformats.org/markup-compatibility/2006" xmlns:a14="http://schemas.microsoft.com/office/drawing/2010/main" val="000000" mc:Ignorable="a14" a14:legacySpreadsheetColorIndex="64"/>
            </a:solidFill>
            <a:round/>
            <a:headEnd/>
            <a:tailEnd/>
          </a:ln>
          <a:extLst xmlns:a="http://schemas.openxmlformats.org/drawingml/2006/main">
            <a:ext uri="{909E8E84-426E-40DD-AFC4-6F175D3DCCD1}">
              <a14:hiddenFill xmlns:a14="http://schemas.microsoft.com/office/drawing/2010/main">
                <a:noFill/>
              </a14:hiddenFill>
            </a:ext>
          </a:extLst>
        </cdr:spPr>
      </cdr:sp>
      <cdr:sp macro="" textlink="">
        <cdr:nvSpPr>
          <cdr:cNvPr id="1045" name="Line 21"/>
          <cdr:cNvSpPr>
            <a:spLocks xmlns:a="http://schemas.openxmlformats.org/drawingml/2006/main" noChangeShapeType="1"/>
          </cdr:cNvSpPr>
        </cdr:nvSpPr>
        <cdr:spPr bwMode="auto">
          <a:xfrm xmlns:a="http://schemas.openxmlformats.org/drawingml/2006/main">
            <a:off x="5153323" y="2067458"/>
            <a:ext cx="0" cy="382548"/>
          </a:xfrm>
          <a:prstGeom xmlns:a="http://schemas.openxmlformats.org/drawingml/2006/main" prst="line">
            <a:avLst/>
          </a:prstGeom>
          <a:noFill xmlns:a="http://schemas.openxmlformats.org/drawingml/2006/main"/>
          <a:ln xmlns:a="http://schemas.openxmlformats.org/drawingml/2006/main" w="12700">
            <a:solidFill>
              <a:srgbClr xmlns:mc="http://schemas.openxmlformats.org/markup-compatibility/2006" xmlns:a14="http://schemas.microsoft.com/office/drawing/2010/main" val="000000" mc:Ignorable="a14" a14:legacySpreadsheetColorIndex="64"/>
            </a:solidFill>
            <a:round/>
            <a:headEnd/>
            <a:tailEnd/>
          </a:ln>
          <a:extLst xmlns:a="http://schemas.openxmlformats.org/drawingml/2006/main">
            <a:ext uri="{909E8E84-426E-40DD-AFC4-6F175D3DCCD1}">
              <a14:hiddenFill xmlns:a14="http://schemas.microsoft.com/office/drawing/2010/main">
                <a:noFill/>
              </a14:hiddenFill>
            </a:ext>
          </a:extLst>
        </cdr:spPr>
      </cdr:sp>
    </cdr:grp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641</Words>
  <Characters>3659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Asia Pacific Gereatrics</cp:lastModifiedBy>
  <cp:revision>2</cp:revision>
  <dcterms:created xsi:type="dcterms:W3CDTF">2023-07-15T03:52:00Z</dcterms:created>
  <dcterms:modified xsi:type="dcterms:W3CDTF">2023-07-15T03:52:00Z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