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202" w:rsidRPr="007D61FD" w:rsidRDefault="00B14202" w:rsidP="00B14202">
      <w:pPr>
        <w:jc w:val="center"/>
        <w:rPr>
          <w:rFonts w:asciiTheme="majorBidi" w:hAnsiTheme="majorBidi" w:cstheme="majorBidi"/>
          <w:b/>
          <w:bCs/>
        </w:rPr>
      </w:pPr>
      <w:r w:rsidRPr="007D61FD">
        <w:rPr>
          <w:rFonts w:asciiTheme="majorBidi" w:hAnsiTheme="majorBidi" w:cstheme="majorBidi"/>
          <w:b/>
          <w:bCs/>
        </w:rPr>
        <w:t>Global prevalence of nosocomial infection: A systematic review and meta-analysis</w:t>
      </w:r>
    </w:p>
    <w:p w:rsidR="00B14202" w:rsidRDefault="00B14202" w:rsidP="00B14202">
      <w:pPr>
        <w:pStyle w:val="BodyText"/>
        <w:spacing w:before="73" w:line="198" w:lineRule="exact"/>
        <w:ind w:left="100" w:right="5987"/>
        <w:rPr>
          <w:rFonts w:ascii="Arial"/>
        </w:rPr>
      </w:pPr>
      <w:r w:rsidRPr="00B14202">
        <w:rPr>
          <w:rFonts w:ascii="Arial"/>
        </w:rPr>
        <w:t xml:space="preserve">Samira </w:t>
      </w:r>
      <w:proofErr w:type="spellStart"/>
      <w:r w:rsidRPr="00B14202">
        <w:rPr>
          <w:rFonts w:ascii="Arial"/>
        </w:rPr>
        <w:t>Raoofi</w:t>
      </w:r>
      <w:proofErr w:type="spellEnd"/>
      <w:r w:rsidR="005973B9">
        <w:rPr>
          <w:rFonts w:ascii="Arial"/>
        </w:rPr>
        <w:t xml:space="preserve">, PhD, </w:t>
      </w:r>
      <w:r>
        <w:rPr>
          <w:rFonts w:ascii="Arial"/>
        </w:rPr>
        <w:t>Iran University of Medical Sciences, Iran</w:t>
      </w:r>
    </w:p>
    <w:p w:rsidR="005973B9" w:rsidRDefault="00B14202" w:rsidP="00B14202">
      <w:pPr>
        <w:pStyle w:val="BodyText"/>
        <w:spacing w:before="73" w:line="198" w:lineRule="exact"/>
        <w:ind w:left="100" w:right="5987"/>
        <w:rPr>
          <w:rFonts w:ascii="Arial"/>
        </w:rPr>
      </w:pPr>
      <w:bookmarkStart w:id="0" w:name="_GoBack"/>
      <w:r>
        <w:rPr>
          <w:rFonts w:ascii="Arial"/>
        </w:rPr>
        <w:t xml:space="preserve">Ahmad </w:t>
      </w:r>
      <w:proofErr w:type="spellStart"/>
      <w:r>
        <w:rPr>
          <w:rFonts w:ascii="Arial"/>
        </w:rPr>
        <w:t>Ghashghaee</w:t>
      </w:r>
      <w:bookmarkEnd w:id="0"/>
      <w:proofErr w:type="spellEnd"/>
      <w:r w:rsidR="005973B9">
        <w:rPr>
          <w:rFonts w:ascii="Arial"/>
        </w:rPr>
        <w:t xml:space="preserve">, </w:t>
      </w:r>
      <w:r>
        <w:rPr>
          <w:rFonts w:ascii="Arial"/>
        </w:rPr>
        <w:t>MSc</w:t>
      </w:r>
      <w:r w:rsidR="005973B9">
        <w:rPr>
          <w:rFonts w:ascii="Arial"/>
        </w:rPr>
        <w:t xml:space="preserve">, </w:t>
      </w:r>
      <w:r>
        <w:rPr>
          <w:rFonts w:ascii="Arial"/>
        </w:rPr>
        <w:t>University of Glasgow</w:t>
      </w:r>
      <w:r w:rsidR="005973B9">
        <w:rPr>
          <w:rFonts w:ascii="Arial"/>
        </w:rPr>
        <w:t xml:space="preserve">, </w:t>
      </w:r>
      <w:r>
        <w:rPr>
          <w:rFonts w:ascii="Arial"/>
        </w:rPr>
        <w:t>UK</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14202" w:rsidRPr="00B14202" w:rsidRDefault="00B14202" w:rsidP="00B14202">
      <w:pPr>
        <w:pStyle w:val="Heading3"/>
        <w:spacing w:before="74"/>
        <w:jc w:val="both"/>
        <w:rPr>
          <w:rFonts w:ascii="Tw Cen MT" w:eastAsia="Tw Cen MT" w:hAnsi="Tw Cen MT" w:cs="Tw Cen MT"/>
          <w:b w:val="0"/>
          <w:bCs w:val="0"/>
          <w:sz w:val="18"/>
          <w:szCs w:val="18"/>
        </w:rPr>
      </w:pPr>
      <w:r w:rsidRPr="00B14202">
        <w:rPr>
          <w:rFonts w:ascii="Tw Cen MT" w:eastAsia="Tw Cen MT" w:hAnsi="Tw Cen MT" w:cs="Tw Cen MT"/>
          <w:b w:val="0"/>
          <w:bCs w:val="0"/>
          <w:sz w:val="18"/>
          <w:szCs w:val="18"/>
        </w:rPr>
        <w:t>Hospital-acquired infections (HAIs) are significant problems as public health issues which need attention. Such infections are significant problems for society and healthcare organizations. This study aimed to carry out a systematic review and a meta-analysis to analyze the prevalence of HAIs globally.</w:t>
      </w:r>
    </w:p>
    <w:p w:rsidR="00B14202" w:rsidRPr="00B14202" w:rsidRDefault="00B14202" w:rsidP="00B14202">
      <w:pPr>
        <w:pStyle w:val="Heading3"/>
        <w:spacing w:before="74"/>
        <w:jc w:val="both"/>
        <w:rPr>
          <w:rFonts w:ascii="Tw Cen MT" w:eastAsia="Tw Cen MT" w:hAnsi="Tw Cen MT" w:cs="Tw Cen MT"/>
          <w:b w:val="0"/>
          <w:bCs w:val="0"/>
          <w:sz w:val="18"/>
          <w:szCs w:val="18"/>
        </w:rPr>
      </w:pPr>
      <w:r w:rsidRPr="00B14202">
        <w:rPr>
          <w:rFonts w:ascii="Tw Cen MT" w:eastAsia="Tw Cen MT" w:hAnsi="Tw Cen MT" w:cs="Tw Cen MT"/>
          <w:b w:val="0"/>
          <w:bCs w:val="0"/>
          <w:sz w:val="18"/>
          <w:szCs w:val="18"/>
        </w:rPr>
        <w:t>We conducted a comprehensive search of electronic databases including EMBASE, Scopus, PubMed and Web of Science between 2000 and June 2021. We found 7031 articles. After removing the duplicates, 5430 studies were screened based on the titles/ abstracts. Then, we systematically evaluated the full texts of the 1909 remaining studies and selected 400 records with 29,159,630 participants for meta-analysis. Random-effects model was used for the analysis, and heterogeneity analysis and publication bias test were conducted.</w:t>
      </w:r>
    </w:p>
    <w:p w:rsidR="00B14202" w:rsidRDefault="00B14202" w:rsidP="00B14202">
      <w:pPr>
        <w:pStyle w:val="Heading3"/>
        <w:spacing w:before="74"/>
        <w:jc w:val="both"/>
        <w:rPr>
          <w:rFonts w:ascii="Tw Cen MT" w:eastAsia="Tw Cen MT" w:hAnsi="Tw Cen MT" w:cs="Tw Cen MT"/>
          <w:b w:val="0"/>
          <w:bCs w:val="0"/>
          <w:sz w:val="18"/>
          <w:szCs w:val="18"/>
        </w:rPr>
      </w:pPr>
      <w:r w:rsidRPr="00B14202">
        <w:rPr>
          <w:rFonts w:ascii="Tw Cen MT" w:eastAsia="Tw Cen MT" w:hAnsi="Tw Cen MT" w:cs="Tw Cen MT"/>
          <w:b w:val="0"/>
          <w:bCs w:val="0"/>
          <w:sz w:val="18"/>
          <w:szCs w:val="18"/>
        </w:rPr>
        <w:t xml:space="preserve">The rate of universal HAIs was 0.14 percent. The rate of HAIs is increasing by 0.06 percent annually. The highest rate of HAIs was in the AFR, while the lowest prevalence </w:t>
      </w:r>
      <w:proofErr w:type="gramStart"/>
      <w:r w:rsidRPr="00B14202">
        <w:rPr>
          <w:rFonts w:ascii="Tw Cen MT" w:eastAsia="Tw Cen MT" w:hAnsi="Tw Cen MT" w:cs="Tw Cen MT"/>
          <w:b w:val="0"/>
          <w:bCs w:val="0"/>
          <w:sz w:val="18"/>
          <w:szCs w:val="18"/>
        </w:rPr>
        <w:t>were</w:t>
      </w:r>
      <w:proofErr w:type="gramEnd"/>
      <w:r w:rsidRPr="00B14202">
        <w:rPr>
          <w:rFonts w:ascii="Tw Cen MT" w:eastAsia="Tw Cen MT" w:hAnsi="Tw Cen MT" w:cs="Tw Cen MT"/>
          <w:b w:val="0"/>
          <w:bCs w:val="0"/>
          <w:sz w:val="18"/>
          <w:szCs w:val="18"/>
        </w:rPr>
        <w:t xml:space="preserve"> in AMR and WPR. Besides, AFR prevalence in central Africa is higher than in other parts of the world by 0.27 (95% CI, 0.22-0.34). Besides, E. coli infected patients more than other micro-organisms such as Coagulase-negative staphylococci, Staphylococcus spp. and Pseudomonas aeruginosa. In hospital wards, Transplant, and Neonatal wards and ICU had the highest rates. The prevalence of HAIs was higher in men than in women.</w:t>
      </w:r>
    </w:p>
    <w:p w:rsidR="00AE3E37" w:rsidRPr="00B14202" w:rsidRDefault="00B14202" w:rsidP="00B14202">
      <w:pPr>
        <w:pStyle w:val="Heading3"/>
        <w:spacing w:before="74"/>
        <w:jc w:val="both"/>
        <w:rPr>
          <w:rFonts w:ascii="Tw Cen MT" w:eastAsia="Tw Cen MT" w:hAnsi="Tw Cen MT" w:cs="Tw Cen MT"/>
          <w:b w:val="0"/>
          <w:bCs w:val="0"/>
          <w:sz w:val="18"/>
          <w:szCs w:val="18"/>
        </w:rPr>
      </w:pPr>
      <w:r w:rsidRPr="00B14202">
        <w:rPr>
          <w:rFonts w:ascii="Tw Cen MT" w:eastAsia="Tw Cen MT" w:hAnsi="Tw Cen MT" w:cs="Tw Cen MT"/>
          <w:b w:val="0"/>
          <w:bCs w:val="0"/>
          <w:sz w:val="18"/>
          <w:szCs w:val="18"/>
        </w:rPr>
        <w:t xml:space="preserve">We identified several essential details about the rate of HAIs in various parts of the world. The HAIs rate and the most common micro-organism were different in various contexts. However, several essential gaps were also identified. The study findings can help hospital managers and health policy makers identify the reason for HAIs and apply effective control programs to implement different plans to reduce the HAIs rate and the financial costs of such infections and save resources. </w:t>
      </w:r>
      <w:r w:rsidR="00A9710C">
        <w:rPr>
          <w:b w:val="0"/>
        </w:rPr>
        <w:br w:type="column"/>
      </w:r>
      <w:r w:rsidR="00A9710C">
        <w:rPr>
          <w:color w:val="BF5A14"/>
        </w:rPr>
        <w:lastRenderedPageBreak/>
        <w:t>Image</w:t>
      </w:r>
    </w:p>
    <w:p w:rsidR="00B14202" w:rsidRDefault="00B14202" w:rsidP="00B14202">
      <w:pPr>
        <w:pStyle w:val="BodyText"/>
        <w:keepNext/>
        <w:spacing w:before="2"/>
      </w:pPr>
      <w:r w:rsidRPr="00B14202">
        <w:rPr>
          <w:noProof/>
        </w:rPr>
        <w:drawing>
          <wp:inline distT="0" distB="0" distL="0" distR="0" wp14:anchorId="78481CFF" wp14:editId="018D507C">
            <wp:extent cx="3165475" cy="1596569"/>
            <wp:effectExtent l="0" t="0" r="0" b="3810"/>
            <wp:docPr id="3" name="Picture 3" descr="F:\Hospital infection\Total\Global NI\Figures\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ospital infection\Total\Global NI\Figures\Figure 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596569"/>
                    </a:xfrm>
                    <a:prstGeom prst="rect">
                      <a:avLst/>
                    </a:prstGeom>
                    <a:noFill/>
                    <a:ln>
                      <a:noFill/>
                    </a:ln>
                  </pic:spPr>
                </pic:pic>
              </a:graphicData>
            </a:graphic>
          </wp:inline>
        </w:drawing>
      </w:r>
    </w:p>
    <w:p w:rsidR="00AE3E37" w:rsidRPr="00C94AF2" w:rsidRDefault="00B14202" w:rsidP="00B14202">
      <w:pPr>
        <w:pStyle w:val="Caption"/>
        <w:rPr>
          <w:rFonts w:asciiTheme="majorBidi" w:hAnsiTheme="majorBidi" w:cstheme="majorBidi"/>
          <w:b/>
          <w:bCs/>
          <w:i w:val="0"/>
          <w:iCs w:val="0"/>
          <w:color w:val="000000" w:themeColor="text1"/>
          <w:sz w:val="16"/>
        </w:rPr>
      </w:pPr>
      <w:proofErr w:type="gramStart"/>
      <w:r w:rsidRPr="00C94AF2">
        <w:rPr>
          <w:rFonts w:asciiTheme="majorBidi" w:hAnsiTheme="majorBidi" w:cstheme="majorBidi"/>
          <w:b/>
          <w:bCs/>
          <w:i w:val="0"/>
          <w:iCs w:val="0"/>
          <w:color w:val="000000" w:themeColor="text1"/>
        </w:rPr>
        <w:t xml:space="preserve">Figure </w:t>
      </w:r>
      <w:r w:rsidRPr="00C94AF2">
        <w:rPr>
          <w:rFonts w:asciiTheme="majorBidi" w:hAnsiTheme="majorBidi" w:cstheme="majorBidi"/>
          <w:b/>
          <w:bCs/>
          <w:i w:val="0"/>
          <w:iCs w:val="0"/>
          <w:color w:val="000000" w:themeColor="text1"/>
        </w:rPr>
        <w:fldChar w:fldCharType="begin"/>
      </w:r>
      <w:r w:rsidRPr="00C94AF2">
        <w:rPr>
          <w:rFonts w:asciiTheme="majorBidi" w:hAnsiTheme="majorBidi" w:cstheme="majorBidi"/>
          <w:b/>
          <w:bCs/>
          <w:i w:val="0"/>
          <w:iCs w:val="0"/>
          <w:color w:val="000000" w:themeColor="text1"/>
        </w:rPr>
        <w:instrText xml:space="preserve"> SEQ Figure \* ARABIC </w:instrText>
      </w:r>
      <w:r w:rsidRPr="00C94AF2">
        <w:rPr>
          <w:rFonts w:asciiTheme="majorBidi" w:hAnsiTheme="majorBidi" w:cstheme="majorBidi"/>
          <w:b/>
          <w:bCs/>
          <w:i w:val="0"/>
          <w:iCs w:val="0"/>
          <w:color w:val="000000" w:themeColor="text1"/>
        </w:rPr>
        <w:fldChar w:fldCharType="separate"/>
      </w:r>
      <w:r w:rsidRPr="00C94AF2">
        <w:rPr>
          <w:rFonts w:asciiTheme="majorBidi" w:hAnsiTheme="majorBidi" w:cstheme="majorBidi"/>
          <w:b/>
          <w:bCs/>
          <w:i w:val="0"/>
          <w:iCs w:val="0"/>
          <w:noProof/>
          <w:color w:val="000000" w:themeColor="text1"/>
        </w:rPr>
        <w:t>1</w:t>
      </w:r>
      <w:r w:rsidRPr="00C94AF2">
        <w:rPr>
          <w:rFonts w:asciiTheme="majorBidi" w:hAnsiTheme="majorBidi" w:cstheme="majorBidi"/>
          <w:b/>
          <w:bCs/>
          <w:i w:val="0"/>
          <w:iCs w:val="0"/>
          <w:color w:val="000000" w:themeColor="text1"/>
        </w:rPr>
        <w:fldChar w:fldCharType="end"/>
      </w:r>
      <w:r w:rsidRPr="00C94AF2">
        <w:rPr>
          <w:rFonts w:asciiTheme="majorBidi" w:hAnsiTheme="majorBidi" w:cstheme="majorBidi"/>
          <w:b/>
          <w:bCs/>
          <w:i w:val="0"/>
          <w:iCs w:val="0"/>
          <w:color w:val="000000" w:themeColor="text1"/>
        </w:rPr>
        <w:t>.</w:t>
      </w:r>
      <w:proofErr w:type="gramEnd"/>
      <w:r w:rsidRPr="00C94AF2">
        <w:rPr>
          <w:rFonts w:asciiTheme="majorBidi" w:hAnsiTheme="majorBidi" w:cstheme="majorBidi"/>
          <w:b/>
          <w:bCs/>
          <w:i w:val="0"/>
          <w:iCs w:val="0"/>
          <w:color w:val="000000" w:themeColor="text1"/>
        </w:rPr>
        <w:t xml:space="preserve"> The prevalence of HAIs based on countries.</w:t>
      </w:r>
    </w:p>
    <w:p w:rsidR="005973B9" w:rsidRDefault="005973B9" w:rsidP="005973B9">
      <w:pPr>
        <w:spacing w:line="204" w:lineRule="exact"/>
        <w:rPr>
          <w:rFonts w:ascii="Arial"/>
          <w:b/>
          <w:sz w:val="20"/>
        </w:rPr>
      </w:pPr>
      <w:r>
        <w:rPr>
          <w:rFonts w:ascii="Arial"/>
          <w:b/>
          <w:color w:val="BF5A14"/>
          <w:sz w:val="20"/>
        </w:rPr>
        <w:br/>
        <w:t>Recent Publications (minimum 5)</w:t>
      </w:r>
    </w:p>
    <w:p w:rsidR="00C94AF2" w:rsidRPr="00C94AF2" w:rsidRDefault="00C94AF2" w:rsidP="00C94AF2">
      <w:pPr>
        <w:tabs>
          <w:tab w:val="left" w:pos="384"/>
        </w:tabs>
        <w:ind w:right="117"/>
        <w:rPr>
          <w:rFonts w:asciiTheme="majorBidi" w:eastAsia="Calibri" w:hAnsiTheme="majorBidi" w:cstheme="majorBidi"/>
          <w:sz w:val="16"/>
          <w:szCs w:val="16"/>
        </w:rPr>
      </w:pPr>
      <w:r>
        <w:rPr>
          <w:rFonts w:asciiTheme="majorBidi" w:eastAsia="Calibri" w:hAnsiTheme="majorBidi" w:cstheme="majorBidi"/>
          <w:sz w:val="16"/>
          <w:szCs w:val="16"/>
        </w:rPr>
        <w:t xml:space="preserve">1- </w:t>
      </w:r>
      <w:r w:rsidRPr="00C94AF2">
        <w:rPr>
          <w:rFonts w:asciiTheme="majorBidi" w:eastAsia="Calibri" w:hAnsiTheme="majorBidi" w:cstheme="majorBidi"/>
          <w:sz w:val="16"/>
          <w:szCs w:val="16"/>
        </w:rPr>
        <w:t xml:space="preserve">Hazard, D., et al., Predicting Potential Prevention Effects on Hospital Burden of Nosocomial Infections: A Multistate Modeling Approach. </w:t>
      </w:r>
      <w:proofErr w:type="gramStart"/>
      <w:r w:rsidRPr="00C94AF2">
        <w:rPr>
          <w:rFonts w:asciiTheme="majorBidi" w:eastAsia="Calibri" w:hAnsiTheme="majorBidi" w:cstheme="majorBidi"/>
          <w:sz w:val="16"/>
          <w:szCs w:val="16"/>
        </w:rPr>
        <w:t>Value in Health, 2021.</w:t>
      </w:r>
      <w:proofErr w:type="gramEnd"/>
      <w:r w:rsidRPr="00C94AF2">
        <w:rPr>
          <w:rFonts w:asciiTheme="majorBidi" w:eastAsia="Calibri" w:hAnsiTheme="majorBidi" w:cstheme="majorBidi"/>
          <w:sz w:val="16"/>
          <w:szCs w:val="16"/>
        </w:rPr>
        <w:t xml:space="preserve"> 24(6): p. 830-838.</w:t>
      </w:r>
    </w:p>
    <w:p w:rsidR="00C94AF2" w:rsidRPr="00C94AF2" w:rsidRDefault="00C94AF2" w:rsidP="00C94AF2">
      <w:pPr>
        <w:tabs>
          <w:tab w:val="left" w:pos="384"/>
        </w:tabs>
        <w:ind w:right="117"/>
        <w:rPr>
          <w:rFonts w:asciiTheme="majorBidi" w:eastAsia="Calibri" w:hAnsiTheme="majorBidi" w:cstheme="majorBidi"/>
          <w:sz w:val="16"/>
          <w:szCs w:val="16"/>
        </w:rPr>
      </w:pPr>
      <w:r>
        <w:rPr>
          <w:rFonts w:asciiTheme="majorBidi" w:eastAsia="Calibri" w:hAnsiTheme="majorBidi" w:cstheme="majorBidi"/>
          <w:sz w:val="16"/>
          <w:szCs w:val="16"/>
        </w:rPr>
        <w:t xml:space="preserve">2- </w:t>
      </w:r>
      <w:proofErr w:type="spellStart"/>
      <w:r w:rsidRPr="00C94AF2">
        <w:rPr>
          <w:rFonts w:asciiTheme="majorBidi" w:eastAsia="Calibri" w:hAnsiTheme="majorBidi" w:cstheme="majorBidi"/>
          <w:sz w:val="16"/>
          <w:szCs w:val="16"/>
        </w:rPr>
        <w:t>Šuljagić</w:t>
      </w:r>
      <w:proofErr w:type="spellEnd"/>
      <w:r w:rsidRPr="00C94AF2">
        <w:rPr>
          <w:rFonts w:asciiTheme="majorBidi" w:eastAsia="Calibri" w:hAnsiTheme="majorBidi" w:cstheme="majorBidi"/>
          <w:sz w:val="16"/>
          <w:szCs w:val="16"/>
        </w:rPr>
        <w:t xml:space="preserve">, V., et al., A nationwide assessment of the burden of healthcare-associated infections and antimicrobial use among surgical patients: results from Serbian point prevalence survey, 2017. </w:t>
      </w:r>
      <w:proofErr w:type="spellStart"/>
      <w:r w:rsidRPr="00C94AF2">
        <w:rPr>
          <w:rFonts w:asciiTheme="majorBidi" w:eastAsia="Calibri" w:hAnsiTheme="majorBidi" w:cstheme="majorBidi"/>
          <w:sz w:val="16"/>
          <w:szCs w:val="16"/>
        </w:rPr>
        <w:t>Antimicrob</w:t>
      </w:r>
      <w:proofErr w:type="spellEnd"/>
      <w:r w:rsidRPr="00C94AF2">
        <w:rPr>
          <w:rFonts w:asciiTheme="majorBidi" w:eastAsia="Calibri" w:hAnsiTheme="majorBidi" w:cstheme="majorBidi"/>
          <w:sz w:val="16"/>
          <w:szCs w:val="16"/>
        </w:rPr>
        <w:t xml:space="preserve"> Resist Infect Control, 2021. 10(1): p. 47.</w:t>
      </w:r>
    </w:p>
    <w:p w:rsidR="00C94AF2" w:rsidRPr="00C94AF2" w:rsidRDefault="00C94AF2" w:rsidP="00C94AF2">
      <w:pPr>
        <w:tabs>
          <w:tab w:val="left" w:pos="384"/>
        </w:tabs>
        <w:ind w:right="117"/>
        <w:rPr>
          <w:rFonts w:asciiTheme="majorBidi" w:eastAsia="Calibri" w:hAnsiTheme="majorBidi" w:cstheme="majorBidi"/>
          <w:sz w:val="16"/>
          <w:szCs w:val="16"/>
        </w:rPr>
      </w:pPr>
      <w:r>
        <w:rPr>
          <w:rFonts w:asciiTheme="majorBidi" w:eastAsia="Calibri" w:hAnsiTheme="majorBidi" w:cstheme="majorBidi"/>
          <w:sz w:val="16"/>
          <w:szCs w:val="16"/>
        </w:rPr>
        <w:t xml:space="preserve">3- </w:t>
      </w:r>
      <w:proofErr w:type="spellStart"/>
      <w:r w:rsidRPr="00C94AF2">
        <w:rPr>
          <w:rFonts w:asciiTheme="majorBidi" w:eastAsia="Calibri" w:hAnsiTheme="majorBidi" w:cstheme="majorBidi"/>
          <w:sz w:val="16"/>
          <w:szCs w:val="16"/>
        </w:rPr>
        <w:t>König</w:t>
      </w:r>
      <w:proofErr w:type="spellEnd"/>
      <w:r w:rsidRPr="00C94AF2">
        <w:rPr>
          <w:rFonts w:asciiTheme="majorBidi" w:eastAsia="Calibri" w:hAnsiTheme="majorBidi" w:cstheme="majorBidi"/>
          <w:sz w:val="16"/>
          <w:szCs w:val="16"/>
        </w:rPr>
        <w:t xml:space="preserve">, E., et al., Prospective Surveillance of Healthcare-Associated Infections in Residents in Four Long-Term Care Facilities in Graz, Austria. </w:t>
      </w:r>
      <w:proofErr w:type="gramStart"/>
      <w:r w:rsidRPr="00C94AF2">
        <w:rPr>
          <w:rFonts w:asciiTheme="majorBidi" w:eastAsia="Calibri" w:hAnsiTheme="majorBidi" w:cstheme="majorBidi"/>
          <w:sz w:val="16"/>
          <w:szCs w:val="16"/>
        </w:rPr>
        <w:t>Antibiotics (Basel), 2021.</w:t>
      </w:r>
      <w:proofErr w:type="gramEnd"/>
      <w:r w:rsidRPr="00C94AF2">
        <w:rPr>
          <w:rFonts w:asciiTheme="majorBidi" w:eastAsia="Calibri" w:hAnsiTheme="majorBidi" w:cstheme="majorBidi"/>
          <w:sz w:val="16"/>
          <w:szCs w:val="16"/>
        </w:rPr>
        <w:t xml:space="preserve"> </w:t>
      </w:r>
      <w:proofErr w:type="gramStart"/>
      <w:r w:rsidRPr="00C94AF2">
        <w:rPr>
          <w:rFonts w:asciiTheme="majorBidi" w:eastAsia="Calibri" w:hAnsiTheme="majorBidi" w:cstheme="majorBidi"/>
          <w:sz w:val="16"/>
          <w:szCs w:val="16"/>
        </w:rPr>
        <w:t>10(5).</w:t>
      </w:r>
      <w:proofErr w:type="gramEnd"/>
    </w:p>
    <w:p w:rsidR="00AE3E37" w:rsidRPr="00C94AF2" w:rsidRDefault="00C94AF2" w:rsidP="00C94AF2">
      <w:pPr>
        <w:tabs>
          <w:tab w:val="left" w:pos="384"/>
        </w:tabs>
        <w:ind w:right="117"/>
        <w:rPr>
          <w:rFonts w:asciiTheme="majorBidi" w:eastAsia="Calibri" w:hAnsiTheme="majorBidi" w:cstheme="majorBidi"/>
          <w:sz w:val="16"/>
          <w:szCs w:val="16"/>
        </w:rPr>
      </w:pPr>
      <w:r>
        <w:rPr>
          <w:rFonts w:asciiTheme="majorBidi" w:eastAsia="Calibri" w:hAnsiTheme="majorBidi" w:cstheme="majorBidi"/>
          <w:sz w:val="16"/>
          <w:szCs w:val="16"/>
        </w:rPr>
        <w:t xml:space="preserve">4- </w:t>
      </w:r>
      <w:proofErr w:type="spellStart"/>
      <w:r w:rsidRPr="00C94AF2">
        <w:rPr>
          <w:rFonts w:asciiTheme="majorBidi" w:eastAsia="Calibri" w:hAnsiTheme="majorBidi" w:cstheme="majorBidi"/>
          <w:sz w:val="16"/>
          <w:szCs w:val="16"/>
        </w:rPr>
        <w:t>Hoxha</w:t>
      </w:r>
      <w:proofErr w:type="spellEnd"/>
      <w:r w:rsidRPr="00C94AF2">
        <w:rPr>
          <w:rFonts w:asciiTheme="majorBidi" w:eastAsia="Calibri" w:hAnsiTheme="majorBidi" w:cstheme="majorBidi"/>
          <w:sz w:val="16"/>
          <w:szCs w:val="16"/>
        </w:rPr>
        <w:t xml:space="preserve">, A., E. </w:t>
      </w:r>
      <w:proofErr w:type="spellStart"/>
      <w:r w:rsidRPr="00C94AF2">
        <w:rPr>
          <w:rFonts w:asciiTheme="majorBidi" w:eastAsia="Calibri" w:hAnsiTheme="majorBidi" w:cstheme="majorBidi"/>
          <w:sz w:val="16"/>
          <w:szCs w:val="16"/>
        </w:rPr>
        <w:t>Duysburgh</w:t>
      </w:r>
      <w:proofErr w:type="spellEnd"/>
      <w:r w:rsidRPr="00C94AF2">
        <w:rPr>
          <w:rFonts w:asciiTheme="majorBidi" w:eastAsia="Calibri" w:hAnsiTheme="majorBidi" w:cstheme="majorBidi"/>
          <w:sz w:val="16"/>
          <w:szCs w:val="16"/>
        </w:rPr>
        <w:t xml:space="preserve">, and L. </w:t>
      </w:r>
      <w:proofErr w:type="spellStart"/>
      <w:r w:rsidRPr="00C94AF2">
        <w:rPr>
          <w:rFonts w:asciiTheme="majorBidi" w:eastAsia="Calibri" w:hAnsiTheme="majorBidi" w:cstheme="majorBidi"/>
          <w:sz w:val="16"/>
          <w:szCs w:val="16"/>
        </w:rPr>
        <w:t>Mortgat</w:t>
      </w:r>
      <w:proofErr w:type="spellEnd"/>
      <w:r w:rsidRPr="00C94AF2">
        <w:rPr>
          <w:rFonts w:asciiTheme="majorBidi" w:eastAsia="Calibri" w:hAnsiTheme="majorBidi" w:cstheme="majorBidi"/>
          <w:sz w:val="16"/>
          <w:szCs w:val="16"/>
        </w:rPr>
        <w:t xml:space="preserve">, Healthcare-associated infections in home healthcare: an extensive assessment, 2019. </w:t>
      </w:r>
      <w:proofErr w:type="gramStart"/>
      <w:r w:rsidRPr="00C94AF2">
        <w:rPr>
          <w:rFonts w:asciiTheme="majorBidi" w:eastAsia="Calibri" w:hAnsiTheme="majorBidi" w:cstheme="majorBidi"/>
          <w:sz w:val="16"/>
          <w:szCs w:val="16"/>
        </w:rPr>
        <w:t xml:space="preserve">Euro </w:t>
      </w:r>
      <w:proofErr w:type="spellStart"/>
      <w:r w:rsidRPr="00C94AF2">
        <w:rPr>
          <w:rFonts w:asciiTheme="majorBidi" w:eastAsia="Calibri" w:hAnsiTheme="majorBidi" w:cstheme="majorBidi"/>
          <w:sz w:val="16"/>
          <w:szCs w:val="16"/>
        </w:rPr>
        <w:t>Surveill</w:t>
      </w:r>
      <w:proofErr w:type="spellEnd"/>
      <w:r w:rsidRPr="00C94AF2">
        <w:rPr>
          <w:rFonts w:asciiTheme="majorBidi" w:eastAsia="Calibri" w:hAnsiTheme="majorBidi" w:cstheme="majorBidi"/>
          <w:sz w:val="16"/>
          <w:szCs w:val="16"/>
        </w:rPr>
        <w:t>, 2021.</w:t>
      </w:r>
      <w:proofErr w:type="gramEnd"/>
      <w:r w:rsidRPr="00C94AF2">
        <w:rPr>
          <w:rFonts w:asciiTheme="majorBidi" w:eastAsia="Calibri" w:hAnsiTheme="majorBidi" w:cstheme="majorBidi"/>
          <w:sz w:val="16"/>
          <w:szCs w:val="16"/>
        </w:rPr>
        <w:t xml:space="preserve"> </w:t>
      </w:r>
      <w:proofErr w:type="gramStart"/>
      <w:r w:rsidRPr="00C94AF2">
        <w:rPr>
          <w:rFonts w:asciiTheme="majorBidi" w:eastAsia="Calibri" w:hAnsiTheme="majorBidi" w:cstheme="majorBidi"/>
          <w:sz w:val="16"/>
          <w:szCs w:val="16"/>
        </w:rPr>
        <w:t>26(5).</w:t>
      </w:r>
      <w:proofErr w:type="gramEnd"/>
    </w:p>
    <w:p w:rsidR="00C94AF2" w:rsidRPr="00C94AF2" w:rsidRDefault="00C94AF2" w:rsidP="00C94AF2">
      <w:pPr>
        <w:tabs>
          <w:tab w:val="left" w:pos="384"/>
        </w:tabs>
        <w:ind w:right="117"/>
        <w:rPr>
          <w:rFonts w:asciiTheme="majorBidi" w:hAnsiTheme="majorBidi" w:cstheme="majorBidi"/>
          <w:sz w:val="16"/>
          <w:szCs w:val="16"/>
        </w:rPr>
      </w:pPr>
      <w:r>
        <w:rPr>
          <w:rFonts w:asciiTheme="majorBidi" w:hAnsiTheme="majorBidi" w:cstheme="majorBidi"/>
          <w:sz w:val="16"/>
          <w:szCs w:val="16"/>
        </w:rPr>
        <w:t xml:space="preserve">5- </w:t>
      </w:r>
      <w:proofErr w:type="spellStart"/>
      <w:r w:rsidRPr="00C94AF2">
        <w:rPr>
          <w:rFonts w:asciiTheme="majorBidi" w:hAnsiTheme="majorBidi" w:cstheme="majorBidi"/>
          <w:sz w:val="16"/>
          <w:szCs w:val="16"/>
        </w:rPr>
        <w:t>Gozel</w:t>
      </w:r>
      <w:proofErr w:type="spellEnd"/>
      <w:r w:rsidRPr="00C94AF2">
        <w:rPr>
          <w:rFonts w:asciiTheme="majorBidi" w:hAnsiTheme="majorBidi" w:cstheme="majorBidi"/>
          <w:sz w:val="16"/>
          <w:szCs w:val="16"/>
        </w:rPr>
        <w:t xml:space="preserve">, M.G., </w:t>
      </w:r>
      <w:proofErr w:type="gramStart"/>
      <w:r w:rsidRPr="00C94AF2">
        <w:rPr>
          <w:rFonts w:asciiTheme="majorBidi" w:hAnsiTheme="majorBidi" w:cstheme="majorBidi"/>
          <w:sz w:val="16"/>
          <w:szCs w:val="16"/>
        </w:rPr>
        <w:t>et</w:t>
      </w:r>
      <w:proofErr w:type="gramEnd"/>
      <w:r w:rsidRPr="00C94AF2">
        <w:rPr>
          <w:rFonts w:asciiTheme="majorBidi" w:hAnsiTheme="majorBidi" w:cstheme="majorBidi"/>
          <w:sz w:val="16"/>
          <w:szCs w:val="16"/>
        </w:rPr>
        <w:t xml:space="preserve"> al., National Infection Control Program in Turkey: The healthcare associated infection rate experiences over 10 years. </w:t>
      </w:r>
      <w:proofErr w:type="gramStart"/>
      <w:r w:rsidRPr="00C94AF2">
        <w:rPr>
          <w:rFonts w:asciiTheme="majorBidi" w:hAnsiTheme="majorBidi" w:cstheme="majorBidi"/>
          <w:sz w:val="16"/>
          <w:szCs w:val="16"/>
        </w:rPr>
        <w:t>American Journal of Infection Control, 2021.</w:t>
      </w:r>
      <w:proofErr w:type="gramEnd"/>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4ED386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94AF2" w:rsidP="00C94AF2">
      <w:pPr>
        <w:spacing w:before="62"/>
        <w:ind w:left="4217" w:right="4235"/>
        <w:jc w:val="center"/>
        <w:rPr>
          <w:rFonts w:ascii="Arial"/>
          <w:sz w:val="14"/>
        </w:rPr>
      </w:pPr>
      <w:r>
        <w:rPr>
          <w:rFonts w:ascii="Arial"/>
          <w:sz w:val="14"/>
        </w:rPr>
        <w:t>Email: ahmad.ghashghaee1996@gmail.com</w:t>
      </w:r>
      <w:hyperlink r:id="rId10" w:history="1"/>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ADA71F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EA7D51" w:rsidRDefault="00A9710C" w:rsidP="00C94AF2">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94AF2">
        <w:rPr>
          <w:sz w:val="20"/>
          <w:szCs w:val="20"/>
          <w:lang w:val="en-NZ"/>
        </w:rPr>
        <w:t xml:space="preserve">Ahmad </w:t>
      </w:r>
      <w:proofErr w:type="spellStart"/>
      <w:r w:rsidR="00C94AF2">
        <w:rPr>
          <w:sz w:val="20"/>
          <w:szCs w:val="20"/>
          <w:lang w:val="en-NZ"/>
        </w:rPr>
        <w:t>Ghashghaee</w:t>
      </w:r>
      <w:proofErr w:type="spellEnd"/>
      <w:r w:rsidRPr="00F35A62">
        <w:rPr>
          <w:sz w:val="20"/>
          <w:szCs w:val="20"/>
          <w:lang w:val="en-NZ"/>
        </w:rPr>
        <w:br/>
        <w:t>Contact number:</w:t>
      </w:r>
      <w:r w:rsidR="00C94AF2">
        <w:rPr>
          <w:sz w:val="20"/>
          <w:szCs w:val="20"/>
          <w:lang w:val="en-NZ"/>
        </w:rPr>
        <w:t xml:space="preserve"> +447310917653</w:t>
      </w:r>
      <w:r w:rsidRPr="00F35A62">
        <w:rPr>
          <w:sz w:val="20"/>
          <w:szCs w:val="20"/>
          <w:lang w:val="en-NZ"/>
        </w:rPr>
        <w:br/>
        <w:t>Linked In account:</w:t>
      </w:r>
      <w:r w:rsidR="00C94AF2">
        <w:rPr>
          <w:sz w:val="20"/>
          <w:szCs w:val="20"/>
          <w:lang w:val="en-NZ"/>
        </w:rPr>
        <w:t xml:space="preserve"> </w:t>
      </w:r>
      <w:proofErr w:type="spellStart"/>
      <w:r w:rsidR="00C94AF2">
        <w:rPr>
          <w:sz w:val="20"/>
          <w:szCs w:val="20"/>
          <w:lang w:val="en-NZ"/>
        </w:rPr>
        <w:t>ahmad.ghashghaee</w:t>
      </w:r>
      <w:proofErr w:type="spellEnd"/>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C94AF2">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514" w:rsidRDefault="00361514">
      <w:r>
        <w:separator/>
      </w:r>
    </w:p>
  </w:endnote>
  <w:endnote w:type="continuationSeparator" w:id="0">
    <w:p w:rsidR="00361514" w:rsidRDefault="00361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514" w:rsidRDefault="00361514">
      <w:r>
        <w:separator/>
      </w:r>
    </w:p>
  </w:footnote>
  <w:footnote w:type="continuationSeparator" w:id="0">
    <w:p w:rsidR="00361514" w:rsidRDefault="003615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F2DAC"/>
    <w:rsid w:val="00292ED9"/>
    <w:rsid w:val="00351D9B"/>
    <w:rsid w:val="00361514"/>
    <w:rsid w:val="00377A3A"/>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14202"/>
    <w:rsid w:val="00B21A57"/>
    <w:rsid w:val="00BE6743"/>
    <w:rsid w:val="00C33602"/>
    <w:rsid w:val="00C56C74"/>
    <w:rsid w:val="00C94AF2"/>
    <w:rsid w:val="00CD6F55"/>
    <w:rsid w:val="00DE3104"/>
    <w:rsid w:val="00DE6170"/>
    <w:rsid w:val="00E30AAC"/>
    <w:rsid w:val="00E67A9D"/>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B14202"/>
    <w:pPr>
      <w:spacing w:after="200"/>
    </w:pPr>
    <w:rPr>
      <w:i/>
      <w:iCs/>
      <w:color w:val="1F497D"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B1420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Breast Cancer 2021</cp:lastModifiedBy>
  <cp:revision>2</cp:revision>
  <dcterms:created xsi:type="dcterms:W3CDTF">2023-04-06T08:46:00Z</dcterms:created>
  <dcterms:modified xsi:type="dcterms:W3CDTF">2023-04-06T08:46:00Z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