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color w:val="000000" w:themeColor="text1"/>
          <w:sz w:val="16"/>
          <w:szCs w:val="16"/>
          <w14:textFill>
            <w14:solidFill>
              <w14:schemeClr w14:val="tx1"/>
            </w14:solidFill>
          </w14:textFill>
        </w:rPr>
      </w:pPr>
      <w:r>
        <w:rPr>
          <w:rFonts w:hint="default" w:ascii="Times New Roman" w:hAnsi="Times New Roman" w:eastAsia="Times New Roman" w:cs="Times New Roman"/>
          <w:color w:val="333333"/>
          <w:sz w:val="16"/>
          <w:szCs w:val="16"/>
          <w:lang w:val="en-IN"/>
        </w:rPr>
        <w:drawing>
          <wp:anchor distT="0" distB="0" distL="114300" distR="114300" simplePos="0" relativeHeight="251659264" behindDoc="0" locked="0" layoutInCell="1" allowOverlap="1">
            <wp:simplePos x="0" y="0"/>
            <wp:positionH relativeFrom="column">
              <wp:posOffset>4766310</wp:posOffset>
            </wp:positionH>
            <wp:positionV relativeFrom="paragraph">
              <wp:posOffset>-328930</wp:posOffset>
            </wp:positionV>
            <wp:extent cx="1061085" cy="883920"/>
            <wp:effectExtent l="0" t="0" r="5715" b="12065"/>
            <wp:wrapSquare wrapText="bothSides"/>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6"/>
                    <a:stretch>
                      <a:fillRect/>
                    </a:stretch>
                  </pic:blipFill>
                  <pic:spPr>
                    <a:xfrm>
                      <a:off x="0" y="0"/>
                      <a:ext cx="1061085" cy="883920"/>
                    </a:xfrm>
                    <a:prstGeom prst="rect">
                      <a:avLst/>
                    </a:prstGeom>
                  </pic:spPr>
                </pic:pic>
              </a:graphicData>
            </a:graphic>
          </wp:anchor>
        </w:drawing>
      </w:r>
      <w:r>
        <w:rPr>
          <w:rFonts w:hint="default" w:ascii="Times New Roman" w:hAnsi="Times New Roman" w:eastAsia="Times New Roman" w:cs="Times New Roman"/>
          <w:color w:val="333333"/>
          <w:sz w:val="16"/>
          <w:szCs w:val="16"/>
          <w:lang w:val="en-IN"/>
        </w:rPr>
        <w:t xml:space="preserve">                                                                                                                                                                                                                                       </w:t>
      </w:r>
    </w:p>
    <w:p>
      <w:pPr>
        <w:ind w:firstLine="1120" w:firstLineChars="400"/>
        <w:jc w:val="both"/>
        <w:rPr>
          <w:rFonts w:hint="default"/>
          <w:color w:val="000000" w:themeColor="text1"/>
          <w:sz w:val="28"/>
          <w:szCs w:val="28"/>
          <w:lang w:val="en-IN"/>
          <w14:textFill>
            <w14:solidFill>
              <w14:schemeClr w14:val="tx1"/>
            </w14:solidFill>
          </w14:textFill>
        </w:rPr>
      </w:pPr>
      <w:r>
        <w:rPr>
          <w:rFonts w:hint="default"/>
          <w:color w:val="000000" w:themeColor="text1"/>
          <w:sz w:val="28"/>
          <w:szCs w:val="28"/>
          <w:lang w:val="en-IN"/>
          <w14:textFill>
            <w14:solidFill>
              <w14:schemeClr w14:val="tx1"/>
            </w14:solidFill>
          </w14:textFill>
        </w:rPr>
        <w:t>Nanotechnology in  coronary interventions</w:t>
      </w:r>
    </w:p>
    <w:p>
      <w:pPr>
        <w:jc w:val="both"/>
        <w:rPr>
          <w:color w:val="000000" w:themeColor="text1"/>
          <w:sz w:val="24"/>
          <w:szCs w:val="24"/>
          <w14:textFill>
            <w14:solidFill>
              <w14:schemeClr w14:val="tx1"/>
            </w14:solidFill>
          </w14:textFill>
        </w:rPr>
      </w:pPr>
      <w:r>
        <w:rPr>
          <w:color w:val="000000" w:themeColor="text1"/>
          <w:sz w:val="24"/>
          <w:szCs w:val="24"/>
          <w:u w:val="single"/>
          <w14:textFill>
            <w14:solidFill>
              <w14:schemeClr w14:val="tx1"/>
            </w14:solidFill>
          </w14:textFill>
        </w:rPr>
        <w:t>Ramachandran Muthiah</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14:textFill>
            <w14:solidFill>
              <w14:schemeClr w14:val="tx1"/>
            </w14:solidFill>
          </w14:textFill>
        </w:rPr>
        <w:t>Morning Star Hospital, Marthandam, Kanyakumari District, India.</w:t>
      </w:r>
    </w:p>
    <w:p>
      <w:pPr>
        <w:jc w:val="both"/>
        <w:rPr>
          <w:rFonts w:ascii="Times New Roman" w:hAnsi="Times New Roman" w:eastAsia="Times New Roman" w:cs="Times New Roman"/>
          <w:color w:val="333333"/>
          <w:sz w:val="24"/>
          <w:szCs w:val="24"/>
        </w:rPr>
      </w:pPr>
      <w:r>
        <w:rPr>
          <w:b/>
          <w:bCs/>
          <w:color w:val="000000" w:themeColor="text1"/>
          <w:sz w:val="24"/>
          <w:szCs w:val="24"/>
          <w14:textFill>
            <w14:solidFill>
              <w14:schemeClr w14:val="tx1"/>
            </w14:solidFill>
          </w14:textFill>
        </w:rPr>
        <w:t xml:space="preserve">Abstract </w:t>
      </w:r>
      <w:r>
        <w:rPr>
          <w:color w:val="000000" w:themeColor="text1"/>
          <w:sz w:val="24"/>
          <w:szCs w:val="24"/>
          <w14:textFill>
            <w14:solidFill>
              <w14:schemeClr w14:val="tx1"/>
            </w14:solidFill>
          </w14:textFill>
        </w:rPr>
        <w:t xml:space="preserve"> The rising incidence of CAD is a new phenomenon in developing countries. The increasing burden of coronary artery disease (CAD) in tropical and subtropical belts of the </w:t>
      </w:r>
      <w:bookmarkStart w:id="0" w:name="_GoBack"/>
      <w:bookmarkEnd w:id="0"/>
      <w:r>
        <w:rPr>
          <w:color w:val="000000" w:themeColor="text1"/>
          <w:sz w:val="24"/>
          <w:szCs w:val="24"/>
          <w14:textFill>
            <w14:solidFill>
              <w14:schemeClr w14:val="tx1"/>
            </w14:solidFill>
          </w14:textFill>
        </w:rPr>
        <w:t>Equator since it remains blurred and carries a grim prognosis.  The worldwide burden is set to reach 47 million disability by the year 2020 as projected by World Health Organization . Plaque buildup in endocardium and coronary arteries, causing ischemic injury and arrhythmic episodes, is a vanishing mystery in its pathogenesis an</w:t>
      </w:r>
      <w:r>
        <w:rPr>
          <w:rFonts w:hint="default" w:ascii="Times New Roman" w:hAnsi="Times New Roman" w:cs="Times New Roman"/>
          <w:color w:val="000000" w:themeColor="text1"/>
          <w:sz w:val="24"/>
          <w:szCs w:val="24"/>
          <w14:textFill>
            <w14:solidFill>
              <w14:schemeClr w14:val="tx1"/>
            </w14:solidFill>
          </w14:textFill>
        </w:rPr>
        <w:t xml:space="preserve">d  emphasizing  alternative routes for understanding and treatment of this enigmatic disease. Recently, </w:t>
      </w:r>
      <w:r>
        <w:rPr>
          <w:rFonts w:hint="default" w:ascii="Times New Roman" w:hAnsi="Times New Roman" w:cs="Times New Roman"/>
          <w:color w:val="232323"/>
          <w:sz w:val="24"/>
          <w:szCs w:val="24"/>
          <w:shd w:val="clear" w:color="auto" w:fill="FFFFFF"/>
        </w:rPr>
        <w:t>evidence of myocardial injury, as defined as an elevated troponin level, is common among patients hospitalized with COVID-19, caused by cardiac microvascular damage  and systemic inflammatory response syndrome (cytokine storm) with  increased risk of a poor prognosis</w:t>
      </w:r>
      <w:r>
        <w:rPr>
          <w:rFonts w:ascii="Arial" w:hAnsi="Arial" w:cs="Arial"/>
          <w:color w:val="232323"/>
          <w:sz w:val="24"/>
          <w:szCs w:val="24"/>
          <w:shd w:val="clear" w:color="auto" w:fill="FFFFFF"/>
        </w:rPr>
        <w:t>.</w:t>
      </w:r>
      <w:r>
        <w:rPr>
          <w:color w:val="000000" w:themeColor="text1"/>
          <w:sz w:val="24"/>
          <w:szCs w:val="24"/>
          <w14:textFill>
            <w14:solidFill>
              <w14:schemeClr w14:val="tx1"/>
            </w14:solidFill>
          </w14:textFill>
        </w:rPr>
        <w:t>.The important steps to prevent and decrease the risk of CAD is to reduce the chance of getting this disorder by epidemiological measures with an advice of blood thinning medications such as small daily dose aspirin, statins, nitrates and antibiotics in susceptible individuals</w:t>
      </w:r>
      <w:r>
        <w:rPr>
          <w:rFonts w:hint="default"/>
          <w:color w:val="000000" w:themeColor="text1"/>
          <w:sz w:val="24"/>
          <w:szCs w:val="24"/>
          <w:lang w:val="en-IN"/>
          <w14:textFill>
            <w14:solidFill>
              <w14:schemeClr w14:val="tx1"/>
            </w14:solidFill>
          </w14:textFill>
        </w:rPr>
        <w:t>.  Nanotechnology has led to an interesting and promising direction in the treatment of coronary artery disease. HDL (high density lipoprotein) are thought to have a protective role since they are involved in the transportation of cholesterol away from the peripheral tissues. Nanotechnology has been used in the synthesis of a dimyristoyl phosphatidyl choline which mimics the surface characteristics of HDL by mediating the removal of cholesterol from the peripheral tissue and transport it to the liver and showed significant reduction in plaque volume and cholesterol content in aorta in animal models  Treatment with nanobacteria promising with reversal of calcific deposits within the vasculature.  Nanoparticle-eluting stents theNano-sized hydroxyapatite coating, carbon nanoparticle coated stents with consistent release of sirolimus, pitavastatin, Magnetic silica nanoparticles with rapamycin exhibit endothelialization in vitro-studies.</w:t>
      </w:r>
      <w:r>
        <w:rPr>
          <w:rFonts w:hint="default"/>
          <w:b/>
          <w:color w:val="000000" w:themeColor="text1"/>
          <w:sz w:val="24"/>
          <w:szCs w:val="24"/>
          <w:lang w:val="en-IN"/>
          <w14:textFill>
            <w14:solidFill>
              <w14:schemeClr w14:val="tx1"/>
            </w14:solidFill>
          </w14:textFill>
        </w:rPr>
        <w:t xml:space="preserve">                                                                                      </w:t>
      </w:r>
    </w:p>
    <w:p>
      <w:pPr>
        <w:shd w:val="clear" w:color="auto" w:fill="FFFFFF"/>
        <w:spacing w:before="300" w:after="150" w:line="240" w:lineRule="auto"/>
        <w:outlineLvl w:val="2"/>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Key words:   Tropical CAD, Infection, Endocardial calcification, antibiotics, antifibrotic drugs, nanomedicine</w:t>
      </w:r>
    </w:p>
    <w:p>
      <w:pPr>
        <w:shd w:val="clear" w:color="auto" w:fill="FFFFFF"/>
        <w:spacing w:after="150" w:line="240" w:lineRule="auto"/>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References</w:t>
      </w:r>
    </w:p>
    <w:p>
      <w:pPr>
        <w:numPr>
          <w:ilvl w:val="0"/>
          <w:numId w:val="1"/>
        </w:numPr>
        <w:jc w:val="both"/>
        <w:rPr>
          <w:rFonts w:hint="default" w:ascii="Times New Roman" w:hAnsi="Times New Roman" w:eastAsia="SimSu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sz w:val="24"/>
          <w:szCs w:val="24"/>
        </w:rPr>
        <w:t>Muthiah, R. (2018) Tropical Coronary Artery Disease and Arrhythmogenic Potentials—The Changing Pattern towards Endomyocardial Fibrosis—An Analysis.</w:t>
      </w:r>
      <w:r>
        <w:rPr>
          <w:rFonts w:hint="default" w:ascii="Times New Roman" w:hAnsi="Times New Roman" w:eastAsia="SimSun" w:cs="Times New Roman"/>
          <w:i/>
          <w:iCs/>
          <w:caps w:val="0"/>
          <w:color w:val="000000"/>
          <w:spacing w:val="0"/>
          <w:sz w:val="24"/>
          <w:szCs w:val="24"/>
        </w:rPr>
        <w:t xml:space="preserve"> Case Reports in Clinical Medicine, 7, 397-429.</w:t>
      </w:r>
    </w:p>
    <w:p>
      <w:pPr>
        <w:numPr>
          <w:ilvl w:val="0"/>
          <w:numId w:val="1"/>
        </w:numPr>
        <w:jc w:val="both"/>
        <w:rPr>
          <w:rFonts w:hint="default" w:ascii="Times New Roman" w:hAnsi="Times New Roman" w:eastAsia="SimSun" w:cs="Times New Roman"/>
          <w:i w:val="0"/>
          <w:iCs w:val="0"/>
          <w:caps w:val="0"/>
          <w:color w:val="000000"/>
          <w:spacing w:val="0"/>
          <w:sz w:val="24"/>
          <w:szCs w:val="24"/>
        </w:rPr>
      </w:pPr>
      <w:r>
        <w:rPr>
          <w:rFonts w:hint="default" w:ascii="Times New Roman" w:hAnsi="Times New Roman" w:eastAsia="SimSun" w:cs="Times New Roman"/>
          <w:i w:val="0"/>
          <w:iCs w:val="0"/>
          <w:caps w:val="0"/>
          <w:color w:val="000000"/>
          <w:spacing w:val="0"/>
          <w:sz w:val="24"/>
          <w:szCs w:val="24"/>
        </w:rPr>
        <w:t xml:space="preserve">Rhee, J.W. and Wu, J.C. (2013) Advances in Nanotechnology for the Management of Coronary Artery Disease. </w:t>
      </w:r>
      <w:r>
        <w:rPr>
          <w:rFonts w:hint="default" w:ascii="Times New Roman" w:hAnsi="Times New Roman" w:eastAsia="SimSun" w:cs="Times New Roman"/>
          <w:i/>
          <w:iCs/>
          <w:caps w:val="0"/>
          <w:color w:val="000000"/>
          <w:spacing w:val="0"/>
          <w:sz w:val="24"/>
          <w:szCs w:val="24"/>
        </w:rPr>
        <w:t>Trends in Cardiovascular Medicine, 23, 39-45.</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(Palaninta vilai, keezhkulam-629193. landline  +91 4651 203014) and Father Muthiah belongs to Enayam thoppu and both were farmers. Primary school education at Aanan vilai Govt high school, keezhkulam, secondary school education at Concordia higher secondary school, Pootteti.. Graduated MBBS (Madurai kamaraj-1988, MD in 1996, DM in 2003- MGR Medical university. Chennai at Tirunelveli and Madurai Govt medical colleges).Worked as medical officer in rural health services for 5 years in keelachekkarkudi, Arryappapuram Primary health centres, ESI hospital, Singanallur and teaching faculty in Madras. Coimbatore, kanyakumari and Thoothukudi Govt medical colleges).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association.</w:t>
      </w:r>
    </w:p>
    <w:p>
      <w:pPr>
        <w:numPr>
          <w:numId w:val="0"/>
        </w:numPr>
        <w:jc w:val="both"/>
        <w:rPr>
          <w:rFonts w:hint="default" w:ascii="Times New Roman" w:hAnsi="Times New Roman" w:eastAsia="SimSun" w:cs="Times New Roman"/>
          <w:i w:val="0"/>
          <w:iCs w:val="0"/>
          <w:caps w:val="0"/>
          <w:color w:val="000000"/>
          <w:spacing w:val="0"/>
          <w:sz w:val="16"/>
          <w:szCs w:val="16"/>
          <w:lang w:val="en-IN"/>
        </w:rPr>
      </w:pPr>
    </w:p>
    <w:p>
      <w:pPr>
        <w:jc w:val="both"/>
        <w:rPr>
          <w:color w:val="000000" w:themeColor="text1"/>
          <w:sz w:val="24"/>
          <w:szCs w:val="24"/>
          <w14:textFill>
            <w14:solidFill>
              <w14:schemeClr w14:val="tx1"/>
            </w14:solidFill>
          </w14:textFill>
        </w:rPr>
      </w:pPr>
    </w:p>
    <w:p>
      <w:pPr>
        <w:jc w:val="both"/>
        <w:rPr>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A10655"/>
    <w:multiLevelType w:val="singleLevel"/>
    <w:tmpl w:val="19A1065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6C"/>
    <w:rsid w:val="003A1F27"/>
    <w:rsid w:val="00664EEE"/>
    <w:rsid w:val="006D1643"/>
    <w:rsid w:val="0073471F"/>
    <w:rsid w:val="008D39D0"/>
    <w:rsid w:val="00A2196E"/>
    <w:rsid w:val="00E6606C"/>
    <w:rsid w:val="1D2E4AF8"/>
    <w:rsid w:val="2542237A"/>
    <w:rsid w:val="2DA70DA0"/>
    <w:rsid w:val="2F70530B"/>
    <w:rsid w:val="33A046CD"/>
    <w:rsid w:val="350F36B8"/>
    <w:rsid w:val="3A0724C5"/>
    <w:rsid w:val="46252E2D"/>
    <w:rsid w:val="59512762"/>
    <w:rsid w:val="632B6946"/>
    <w:rsid w:val="66F03BF1"/>
    <w:rsid w:val="77AF3DA3"/>
    <w:rsid w:val="79670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Tahoma" w:hAnsi="Tahoma" w:cs="Tahoma"/>
      <w:sz w:val="16"/>
      <w:szCs w:val="16"/>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7">
    <w:name w:val="Heading 3 Char"/>
    <w:basedOn w:val="3"/>
    <w:link w:val="2"/>
    <w:qFormat/>
    <w:uiPriority w:val="9"/>
    <w:rPr>
      <w:rFonts w:ascii="Times New Roman" w:hAnsi="Times New Roman" w:eastAsia="Times New Roman" w:cs="Times New Roman"/>
      <w:b/>
      <w:bCs/>
      <w:sz w:val="27"/>
      <w:szCs w:val="27"/>
    </w:rPr>
  </w:style>
  <w:style w:type="character" w:customStyle="1" w:styleId="8">
    <w:name w:val="Balloon Text Char"/>
    <w:basedOn w:val="3"/>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676</Words>
  <Characters>3859</Characters>
  <Lines>32</Lines>
  <Paragraphs>9</Paragraphs>
  <TotalTime>37</TotalTime>
  <ScaleCrop>false</ScaleCrop>
  <LinksUpToDate>false</LinksUpToDate>
  <CharactersWithSpaces>4526</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2020-10-26T11:10:00Z</dcterms:created>
  <dc:creator>Admin2</dc:creator>
  <cp:lastModifiedBy>Ramachandrab Muthiah</cp:lastModifiedBy>
  <dcterms:modified xsi:type="dcterms:W3CDTF">2022-03-23T15:43:22Z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D267199147384F16BC86536782160466</vt:lpwstr>
  </property>
</Properties>
</file>