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8D1" w:rsidRPr="00C638D1" w:rsidRDefault="00C638D1" w:rsidP="00C638D1">
      <w:pPr>
        <w:spacing w:line="360" w:lineRule="auto"/>
        <w:jc w:val="center"/>
        <w:rPr>
          <w:b/>
          <w:bCs/>
          <w:color w:val="548DD4" w:themeColor="text2" w:themeTint="99"/>
        </w:rPr>
      </w:pPr>
      <w:r w:rsidRPr="00C638D1">
        <w:rPr>
          <w:b/>
          <w:bCs/>
          <w:color w:val="548DD4" w:themeColor="text2" w:themeTint="99"/>
        </w:rPr>
        <w:t xml:space="preserve">Patterns of Adverse Drug Reactions in Jordan: </w:t>
      </w:r>
    </w:p>
    <w:p w:rsidR="00C638D1" w:rsidRPr="00C638D1" w:rsidRDefault="00C638D1" w:rsidP="00C638D1">
      <w:pPr>
        <w:spacing w:line="360" w:lineRule="auto"/>
        <w:jc w:val="center"/>
        <w:rPr>
          <w:b/>
          <w:bCs/>
          <w:color w:val="548DD4" w:themeColor="text2" w:themeTint="99"/>
        </w:rPr>
      </w:pPr>
      <w:r w:rsidRPr="00C638D1">
        <w:rPr>
          <w:b/>
          <w:bCs/>
          <w:color w:val="548DD4" w:themeColor="text2" w:themeTint="99"/>
        </w:rPr>
        <w:t>A Retrospective Analysis of the National Pharmacovigilance</w:t>
      </w:r>
      <w:r w:rsidRPr="00C638D1">
        <w:rPr>
          <w:color w:val="548DD4" w:themeColor="text2" w:themeTint="99"/>
        </w:rPr>
        <w:t xml:space="preserve"> </w:t>
      </w:r>
      <w:r w:rsidRPr="00C638D1">
        <w:rPr>
          <w:b/>
          <w:bCs/>
          <w:color w:val="548DD4" w:themeColor="text2" w:themeTint="99"/>
        </w:rPr>
        <w:t>Data Registry (2015-2021)</w:t>
      </w:r>
    </w:p>
    <w:p w:rsidR="00C638D1" w:rsidRDefault="00C638D1" w:rsidP="00401713">
      <w:pPr>
        <w:pStyle w:val="BodyText"/>
        <w:spacing w:before="73" w:line="198" w:lineRule="exact"/>
        <w:ind w:right="5987"/>
        <w:rPr>
          <w:rFonts w:ascii="Times New Roman" w:hAnsi="Times New Roman" w:cs="Times New Roman"/>
          <w:sz w:val="22"/>
          <w:rtl/>
        </w:rPr>
      </w:pPr>
    </w:p>
    <w:p w:rsidR="00411741" w:rsidRDefault="00411741">
      <w:pPr>
        <w:rPr>
          <w:rFonts w:ascii="Times New Roman" w:hAnsi="Times New Roman" w:cs="Times New Roman"/>
          <w:szCs w:val="18"/>
        </w:rPr>
      </w:pPr>
      <w:proofErr w:type="spellStart"/>
      <w:r w:rsidRPr="00411741">
        <w:rPr>
          <w:rFonts w:ascii="Times New Roman" w:hAnsi="Times New Roman" w:cs="Times New Roman"/>
          <w:szCs w:val="18"/>
        </w:rPr>
        <w:t>Hayaa</w:t>
      </w:r>
      <w:proofErr w:type="spellEnd"/>
      <w:r w:rsidRPr="00411741">
        <w:rPr>
          <w:rFonts w:ascii="Times New Roman" w:hAnsi="Times New Roman" w:cs="Times New Roman"/>
          <w:szCs w:val="18"/>
        </w:rPr>
        <w:t xml:space="preserve"> </w:t>
      </w:r>
      <w:proofErr w:type="spellStart"/>
      <w:r w:rsidRPr="00411741">
        <w:rPr>
          <w:rFonts w:ascii="Times New Roman" w:hAnsi="Times New Roman" w:cs="Times New Roman"/>
          <w:szCs w:val="18"/>
        </w:rPr>
        <w:t>Abdallah</w:t>
      </w:r>
      <w:proofErr w:type="spellEnd"/>
      <w:r w:rsidRPr="00411741">
        <w:rPr>
          <w:rFonts w:ascii="Times New Roman" w:hAnsi="Times New Roman" w:cs="Times New Roman"/>
          <w:szCs w:val="18"/>
        </w:rPr>
        <w:t xml:space="preserve"> Banat</w:t>
      </w:r>
      <w:r>
        <w:rPr>
          <w:rFonts w:ascii="Times New Roman" w:hAnsi="Times New Roman" w:cs="Times New Roman"/>
          <w:szCs w:val="18"/>
        </w:rPr>
        <w:t xml:space="preserve">, </w:t>
      </w:r>
      <w:proofErr w:type="spellStart"/>
      <w:r>
        <w:rPr>
          <w:rFonts w:ascii="Times New Roman" w:hAnsi="Times New Roman" w:cs="Times New Roman"/>
          <w:szCs w:val="18"/>
        </w:rPr>
        <w:t>Bsc</w:t>
      </w:r>
      <w:proofErr w:type="spellEnd"/>
      <w:r>
        <w:rPr>
          <w:rFonts w:ascii="Times New Roman" w:hAnsi="Times New Roman" w:cs="Times New Roman"/>
          <w:szCs w:val="18"/>
        </w:rPr>
        <w:t xml:space="preserve">, </w:t>
      </w:r>
      <w:r w:rsidRPr="00411741">
        <w:rPr>
          <w:rFonts w:ascii="Times New Roman" w:hAnsi="Times New Roman" w:cs="Times New Roman"/>
          <w:szCs w:val="18"/>
        </w:rPr>
        <w:t>Jordan Food and Drug Administration (JFDA),</w:t>
      </w:r>
      <w:bookmarkStart w:id="0" w:name="_GoBack"/>
      <w:bookmarkEnd w:id="0"/>
    </w:p>
    <w:p w:rsidR="00AE3E37" w:rsidRPr="00401713" w:rsidRDefault="00411741">
      <w:pPr>
        <w:rPr>
          <w:rFonts w:ascii="Arial"/>
          <w:sz w:val="18"/>
          <w:szCs w:val="18"/>
        </w:rPr>
        <w:sectPr w:rsidR="00AE3E37" w:rsidRPr="00401713" w:rsidSect="001A6C67">
          <w:headerReference w:type="default" r:id="rId8"/>
          <w:footerReference w:type="default" r:id="rId9"/>
          <w:type w:val="continuous"/>
          <w:pgSz w:w="11910" w:h="16840"/>
          <w:pgMar w:top="720" w:right="720" w:bottom="720" w:left="720" w:header="541" w:footer="642" w:gutter="0"/>
          <w:cols w:space="720"/>
          <w:docGrid w:linePitch="299"/>
        </w:sectPr>
      </w:pPr>
      <w:r w:rsidRPr="00411741">
        <w:rPr>
          <w:rFonts w:ascii="Times New Roman" w:hAnsi="Times New Roman" w:cs="Times New Roman"/>
          <w:szCs w:val="18"/>
        </w:rPr>
        <w:t>Amman 11181, Jordan</w:t>
      </w:r>
    </w:p>
    <w:p w:rsidR="00AE3E37" w:rsidRPr="00401713" w:rsidRDefault="00A9710C" w:rsidP="00C638D1">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C638D1" w:rsidRPr="00C638D1" w:rsidRDefault="00C638D1" w:rsidP="00411741">
      <w:pPr>
        <w:pStyle w:val="BodyText"/>
        <w:spacing w:before="90" w:line="280" w:lineRule="auto"/>
        <w:jc w:val="both"/>
        <w:rPr>
          <w:noProof/>
        </w:rPr>
      </w:pPr>
      <w:r w:rsidRPr="00C638D1">
        <w:rPr>
          <w:b/>
          <w:bCs/>
          <w:noProof/>
        </w:rPr>
        <w:t>Background</w:t>
      </w:r>
      <w:r w:rsidRPr="00C638D1">
        <w:rPr>
          <w:noProof/>
        </w:rPr>
        <w:t xml:space="preserve">: Post-marketing surveillance of drugs is a cornerstone of pharmacovigilance. This study was conducted to characterize patterns of adverse drug reactions (ADRs) reporting in Jordan.   </w:t>
      </w:r>
    </w:p>
    <w:p w:rsidR="00C638D1" w:rsidRPr="00C638D1" w:rsidRDefault="00C638D1" w:rsidP="00411741">
      <w:pPr>
        <w:pStyle w:val="BodyText"/>
        <w:spacing w:before="90" w:line="280" w:lineRule="auto"/>
        <w:jc w:val="both"/>
        <w:rPr>
          <w:noProof/>
        </w:rPr>
      </w:pPr>
      <w:r w:rsidRPr="00C638D1">
        <w:rPr>
          <w:b/>
          <w:bCs/>
          <w:noProof/>
        </w:rPr>
        <w:t>Research design and methods</w:t>
      </w:r>
      <w:r w:rsidRPr="00C638D1">
        <w:rPr>
          <w:noProof/>
        </w:rPr>
        <w:t xml:space="preserve">: ADR reports submitted to the pharmacovigilance database of the Jordan Food and Drug Administration during 2015-2021 were retrospectively analyzed. The most commonly reported drugs, drug classes, ADRs, and ADRs consequences were explored. Logistic regression identified possible predictors of reporting serious ADRs. </w:t>
      </w:r>
    </w:p>
    <w:p w:rsidR="00C638D1" w:rsidRPr="00C638D1" w:rsidRDefault="00C638D1" w:rsidP="00411741">
      <w:pPr>
        <w:pStyle w:val="BodyText"/>
        <w:spacing w:before="90" w:line="280" w:lineRule="auto"/>
        <w:jc w:val="both"/>
        <w:rPr>
          <w:noProof/>
        </w:rPr>
      </w:pPr>
      <w:r w:rsidRPr="00C638D1">
        <w:rPr>
          <w:b/>
          <w:bCs/>
          <w:noProof/>
        </w:rPr>
        <w:t>Results</w:t>
      </w:r>
      <w:r w:rsidRPr="00C638D1">
        <w:rPr>
          <w:noProof/>
        </w:rPr>
        <w:t xml:space="preserve">: A total of 2744 ADR reports were included, among which 28.4% were classified as serious. An annual increase in ADR reporting was observed. The most commonly implicated drug classes were antineoplastic and immunomodulating agents (24.0%), anti-infectives for systemic use (14.2%), and alimentary tract and metabolism (12.1%). Covid-19 vaccination was the most reported drug (22.8%). Fatigue (6.3%), injection site pain (6.1%), and headache (6.0%) were the top three common ADRs. Among ADRs with outcome information, 4.7% were fatal. Patient’s age and intravenous medication use largely predicted reporting serious ADRs. </w:t>
      </w:r>
    </w:p>
    <w:p w:rsidR="00C638D1" w:rsidRPr="00C638D1" w:rsidRDefault="00C638D1" w:rsidP="00411741">
      <w:pPr>
        <w:pStyle w:val="BodyText"/>
        <w:spacing w:before="90" w:line="280" w:lineRule="auto"/>
        <w:jc w:val="both"/>
        <w:rPr>
          <w:noProof/>
        </w:rPr>
      </w:pPr>
      <w:r w:rsidRPr="00C638D1">
        <w:rPr>
          <w:b/>
          <w:bCs/>
          <w:noProof/>
        </w:rPr>
        <w:t>Conclusions</w:t>
      </w:r>
      <w:r w:rsidRPr="00C638D1">
        <w:rPr>
          <w:noProof/>
        </w:rPr>
        <w:t xml:space="preserve">: This study provides contemporary insights into the post-marketing surveillance of drugs in Jordan. The findings are foundational for future studies exploring drug-ADRs causality relationships. Efforts that promote pharmacovigilance concepts should be sustained and enhanced at the national level. </w:t>
      </w:r>
    </w:p>
    <w:p w:rsidR="005973B9" w:rsidRPr="00401713" w:rsidRDefault="00A9710C" w:rsidP="00411741">
      <w:pPr>
        <w:pStyle w:val="Heading3"/>
        <w:spacing w:before="74"/>
        <w:rPr>
          <w:rFonts w:ascii="Times New Roman" w:hAnsi="Times New Roman" w:cs="Times New Roman"/>
          <w:b w:val="0"/>
          <w:sz w:val="18"/>
          <w:szCs w:val="18"/>
        </w:rPr>
      </w:pPr>
      <w:r w:rsidRPr="00401713">
        <w:rPr>
          <w:b w:val="0"/>
          <w:sz w:val="18"/>
          <w:szCs w:val="18"/>
        </w:rPr>
        <w:br w:type="column"/>
      </w:r>
      <w:r w:rsidR="005973B9" w:rsidRPr="00401713">
        <w:rPr>
          <w:rFonts w:ascii="Times New Roman" w:hAnsi="Times New Roman" w:cs="Times New Roman"/>
          <w:color w:val="BF5A14"/>
          <w:sz w:val="18"/>
          <w:szCs w:val="18"/>
        </w:rPr>
        <w:lastRenderedPageBreak/>
        <w:t xml:space="preserve">Recent Publications </w:t>
      </w:r>
    </w:p>
    <w:p w:rsidR="005973B9" w:rsidRPr="002536A7" w:rsidRDefault="005825FA" w:rsidP="002536A7">
      <w:pPr>
        <w:pStyle w:val="ListParagraph"/>
        <w:numPr>
          <w:ilvl w:val="0"/>
          <w:numId w:val="3"/>
        </w:numPr>
        <w:tabs>
          <w:tab w:val="left" w:pos="384"/>
        </w:tabs>
        <w:spacing w:line="216" w:lineRule="exact"/>
        <w:ind w:right="137"/>
        <w:rPr>
          <w:rFonts w:ascii="Times New Roman" w:hAnsi="Times New Roman" w:cs="Times New Roman"/>
          <w:sz w:val="18"/>
          <w:szCs w:val="18"/>
        </w:rPr>
      </w:pPr>
      <w:proofErr w:type="spellStart"/>
      <w:r w:rsidRPr="002536A7">
        <w:rPr>
          <w:rFonts w:ascii="Times New Roman" w:hAnsi="Times New Roman" w:cs="Times New Roman"/>
          <w:sz w:val="18"/>
          <w:szCs w:val="18"/>
        </w:rPr>
        <w:t>Mhaidat</w:t>
      </w:r>
      <w:proofErr w:type="spellEnd"/>
      <w:r w:rsidRPr="002536A7">
        <w:rPr>
          <w:rFonts w:ascii="Times New Roman" w:hAnsi="Times New Roman" w:cs="Times New Roman"/>
          <w:sz w:val="18"/>
          <w:szCs w:val="18"/>
        </w:rPr>
        <w:t>, N.M.; Al-</w:t>
      </w:r>
      <w:proofErr w:type="spellStart"/>
      <w:r w:rsidRPr="002536A7">
        <w:rPr>
          <w:rFonts w:ascii="Times New Roman" w:hAnsi="Times New Roman" w:cs="Times New Roman"/>
          <w:sz w:val="18"/>
          <w:szCs w:val="18"/>
        </w:rPr>
        <w:t>Azzam,S</w:t>
      </w:r>
      <w:proofErr w:type="spellEnd"/>
      <w:r w:rsidRPr="002536A7">
        <w:rPr>
          <w:rFonts w:ascii="Times New Roman" w:hAnsi="Times New Roman" w:cs="Times New Roman"/>
          <w:sz w:val="18"/>
          <w:szCs w:val="18"/>
        </w:rPr>
        <w:t xml:space="preserve">.; Banat, H.A.; </w:t>
      </w:r>
      <w:proofErr w:type="spellStart"/>
      <w:r w:rsidRPr="002536A7">
        <w:rPr>
          <w:rFonts w:ascii="Times New Roman" w:hAnsi="Times New Roman" w:cs="Times New Roman"/>
          <w:sz w:val="18"/>
          <w:szCs w:val="18"/>
        </w:rPr>
        <w:t>Jaber</w:t>
      </w:r>
      <w:proofErr w:type="spellEnd"/>
      <w:r w:rsidRPr="002536A7">
        <w:rPr>
          <w:rFonts w:ascii="Times New Roman" w:hAnsi="Times New Roman" w:cs="Times New Roman"/>
          <w:sz w:val="18"/>
          <w:szCs w:val="18"/>
        </w:rPr>
        <w:t xml:space="preserve">, J.M.; </w:t>
      </w:r>
      <w:proofErr w:type="spellStart"/>
      <w:r w:rsidRPr="002536A7">
        <w:rPr>
          <w:rFonts w:ascii="Times New Roman" w:hAnsi="Times New Roman" w:cs="Times New Roman"/>
          <w:sz w:val="18"/>
          <w:szCs w:val="18"/>
        </w:rPr>
        <w:t>Araydah,M</w:t>
      </w:r>
      <w:proofErr w:type="spellEnd"/>
      <w:r w:rsidRPr="002536A7">
        <w:rPr>
          <w:rFonts w:ascii="Times New Roman" w:hAnsi="Times New Roman" w:cs="Times New Roman"/>
          <w:sz w:val="18"/>
          <w:szCs w:val="18"/>
        </w:rPr>
        <w:t xml:space="preserve">.; </w:t>
      </w:r>
      <w:proofErr w:type="spellStart"/>
      <w:r w:rsidRPr="002536A7">
        <w:rPr>
          <w:rFonts w:ascii="Times New Roman" w:hAnsi="Times New Roman" w:cs="Times New Roman"/>
          <w:sz w:val="18"/>
          <w:szCs w:val="18"/>
        </w:rPr>
        <w:t>Alshogran</w:t>
      </w:r>
      <w:proofErr w:type="spellEnd"/>
      <w:r w:rsidRPr="002536A7">
        <w:rPr>
          <w:rFonts w:ascii="Times New Roman" w:hAnsi="Times New Roman" w:cs="Times New Roman"/>
          <w:sz w:val="18"/>
          <w:szCs w:val="18"/>
        </w:rPr>
        <w:t xml:space="preserve">, O.Y.; </w:t>
      </w:r>
      <w:proofErr w:type="spellStart"/>
      <w:r w:rsidRPr="002536A7">
        <w:rPr>
          <w:rFonts w:ascii="Times New Roman" w:hAnsi="Times New Roman" w:cs="Times New Roman"/>
          <w:sz w:val="18"/>
          <w:szCs w:val="18"/>
        </w:rPr>
        <w:t>Aldeyab</w:t>
      </w:r>
      <w:proofErr w:type="spellEnd"/>
      <w:r w:rsidRPr="002536A7">
        <w:rPr>
          <w:rFonts w:ascii="Times New Roman" w:hAnsi="Times New Roman" w:cs="Times New Roman"/>
          <w:sz w:val="18"/>
          <w:szCs w:val="18"/>
        </w:rPr>
        <w:t xml:space="preserve">, M.A. Reporting Antimicrobial-Related Adverse Drug Events in Jordan: An Analysis from the </w:t>
      </w:r>
      <w:proofErr w:type="spellStart"/>
      <w:r w:rsidRPr="002536A7">
        <w:rPr>
          <w:rFonts w:ascii="Times New Roman" w:hAnsi="Times New Roman" w:cs="Times New Roman"/>
          <w:sz w:val="18"/>
          <w:szCs w:val="18"/>
        </w:rPr>
        <w:t>VigiBase</w:t>
      </w:r>
      <w:proofErr w:type="spellEnd"/>
      <w:r w:rsidRPr="002536A7">
        <w:rPr>
          <w:rFonts w:ascii="Times New Roman" w:hAnsi="Times New Roman" w:cs="Times New Roman"/>
          <w:sz w:val="18"/>
          <w:szCs w:val="18"/>
        </w:rPr>
        <w:t xml:space="preserve"> Database. Antibiotics </w:t>
      </w:r>
      <w:r w:rsidRPr="002536A7">
        <w:rPr>
          <w:rFonts w:ascii="Times New Roman" w:hAnsi="Times New Roman" w:cs="Times New Roman"/>
          <w:b/>
          <w:bCs/>
          <w:sz w:val="18"/>
          <w:szCs w:val="18"/>
        </w:rPr>
        <w:t>2023</w:t>
      </w:r>
      <w:r w:rsidRPr="002536A7">
        <w:rPr>
          <w:rFonts w:ascii="Times New Roman" w:hAnsi="Times New Roman" w:cs="Times New Roman"/>
          <w:sz w:val="18"/>
          <w:szCs w:val="18"/>
        </w:rPr>
        <w:t>, 12, 624</w:t>
      </w:r>
      <w:r w:rsidR="005973B9" w:rsidRPr="002536A7">
        <w:rPr>
          <w:rFonts w:ascii="Times New Roman" w:hAnsi="Times New Roman" w:cs="Times New Roman"/>
          <w:sz w:val="18"/>
          <w:szCs w:val="18"/>
        </w:rPr>
        <w:t>.</w:t>
      </w:r>
    </w:p>
    <w:p w:rsidR="005825FA" w:rsidRPr="002536A7" w:rsidRDefault="005825FA" w:rsidP="005825FA">
      <w:pPr>
        <w:tabs>
          <w:tab w:val="left" w:pos="384"/>
        </w:tabs>
        <w:spacing w:line="216" w:lineRule="exact"/>
        <w:ind w:left="100" w:right="137"/>
        <w:rPr>
          <w:rFonts w:ascii="Times New Roman" w:hAnsi="Times New Roman" w:cs="Times New Roman"/>
          <w:sz w:val="18"/>
          <w:szCs w:val="18"/>
        </w:rPr>
      </w:pPr>
    </w:p>
    <w:p w:rsidR="005825FA" w:rsidRPr="002536A7" w:rsidRDefault="005825FA" w:rsidP="005825FA">
      <w:pPr>
        <w:pStyle w:val="ListParagraph"/>
        <w:numPr>
          <w:ilvl w:val="0"/>
          <w:numId w:val="3"/>
        </w:numPr>
        <w:tabs>
          <w:tab w:val="left" w:pos="384"/>
        </w:tabs>
        <w:spacing w:line="216" w:lineRule="exact"/>
        <w:ind w:right="138"/>
        <w:rPr>
          <w:rFonts w:ascii="Times New Roman" w:hAnsi="Times New Roman" w:cs="Times New Roman"/>
          <w:sz w:val="18"/>
          <w:szCs w:val="18"/>
        </w:rPr>
      </w:pPr>
      <w:r w:rsidRPr="002536A7">
        <w:rPr>
          <w:rFonts w:ascii="Times New Roman" w:hAnsi="Times New Roman" w:cs="Times New Roman"/>
          <w:sz w:val="18"/>
          <w:szCs w:val="18"/>
        </w:rPr>
        <w:t>Al-</w:t>
      </w:r>
      <w:proofErr w:type="spellStart"/>
      <w:r w:rsidRPr="002536A7">
        <w:rPr>
          <w:rFonts w:ascii="Times New Roman" w:hAnsi="Times New Roman" w:cs="Times New Roman"/>
          <w:sz w:val="18"/>
          <w:szCs w:val="18"/>
        </w:rPr>
        <w:t>Azzam</w:t>
      </w:r>
      <w:proofErr w:type="spellEnd"/>
      <w:r w:rsidRPr="002536A7">
        <w:rPr>
          <w:rFonts w:ascii="Times New Roman" w:hAnsi="Times New Roman" w:cs="Times New Roman"/>
          <w:sz w:val="18"/>
          <w:szCs w:val="18"/>
        </w:rPr>
        <w:t xml:space="preserve">, S.; Mhaidat, N.M.; Banat, H.A.; </w:t>
      </w:r>
      <w:proofErr w:type="spellStart"/>
      <w:r w:rsidRPr="002536A7">
        <w:rPr>
          <w:rFonts w:ascii="Times New Roman" w:hAnsi="Times New Roman" w:cs="Times New Roman"/>
          <w:sz w:val="18"/>
          <w:szCs w:val="18"/>
        </w:rPr>
        <w:t>Alfaour</w:t>
      </w:r>
      <w:proofErr w:type="spellEnd"/>
      <w:r w:rsidRPr="002536A7">
        <w:rPr>
          <w:rFonts w:ascii="Times New Roman" w:hAnsi="Times New Roman" w:cs="Times New Roman"/>
          <w:sz w:val="18"/>
          <w:szCs w:val="18"/>
        </w:rPr>
        <w:t xml:space="preserve">, </w:t>
      </w:r>
      <w:proofErr w:type="spellStart"/>
      <w:r w:rsidRPr="002536A7">
        <w:rPr>
          <w:rFonts w:ascii="Times New Roman" w:hAnsi="Times New Roman" w:cs="Times New Roman"/>
          <w:sz w:val="18"/>
          <w:szCs w:val="18"/>
        </w:rPr>
        <w:t>M.;Ahmad</w:t>
      </w:r>
      <w:proofErr w:type="spellEnd"/>
      <w:r w:rsidRPr="002536A7">
        <w:rPr>
          <w:rFonts w:ascii="Times New Roman" w:hAnsi="Times New Roman" w:cs="Times New Roman"/>
          <w:sz w:val="18"/>
          <w:szCs w:val="18"/>
        </w:rPr>
        <w:t>, D.S.; Muller, A.; Al-</w:t>
      </w:r>
      <w:proofErr w:type="spellStart"/>
      <w:r w:rsidRPr="002536A7">
        <w:rPr>
          <w:rFonts w:ascii="Times New Roman" w:hAnsi="Times New Roman" w:cs="Times New Roman"/>
          <w:sz w:val="18"/>
          <w:szCs w:val="18"/>
        </w:rPr>
        <w:t>Nuseirat</w:t>
      </w:r>
      <w:proofErr w:type="spellEnd"/>
      <w:r w:rsidRPr="002536A7">
        <w:rPr>
          <w:rFonts w:ascii="Times New Roman" w:hAnsi="Times New Roman" w:cs="Times New Roman"/>
          <w:sz w:val="18"/>
          <w:szCs w:val="18"/>
        </w:rPr>
        <w:t xml:space="preserve">, A.; </w:t>
      </w:r>
      <w:proofErr w:type="spellStart"/>
      <w:r w:rsidRPr="002536A7">
        <w:rPr>
          <w:rFonts w:ascii="Times New Roman" w:hAnsi="Times New Roman" w:cs="Times New Roman"/>
          <w:sz w:val="18"/>
          <w:szCs w:val="18"/>
        </w:rPr>
        <w:t>Lattyak</w:t>
      </w:r>
      <w:proofErr w:type="spellEnd"/>
      <w:r w:rsidRPr="002536A7">
        <w:rPr>
          <w:rFonts w:ascii="Times New Roman" w:hAnsi="Times New Roman" w:cs="Times New Roman"/>
          <w:sz w:val="18"/>
          <w:szCs w:val="18"/>
        </w:rPr>
        <w:t xml:space="preserve">, E.A.; Conway, B.R.; </w:t>
      </w:r>
      <w:proofErr w:type="spellStart"/>
      <w:r w:rsidRPr="002536A7">
        <w:rPr>
          <w:rFonts w:ascii="Times New Roman" w:hAnsi="Times New Roman" w:cs="Times New Roman"/>
          <w:sz w:val="18"/>
          <w:szCs w:val="18"/>
        </w:rPr>
        <w:t>Aldeyab</w:t>
      </w:r>
      <w:proofErr w:type="spellEnd"/>
      <w:r w:rsidRPr="002536A7">
        <w:rPr>
          <w:rFonts w:ascii="Times New Roman" w:hAnsi="Times New Roman" w:cs="Times New Roman"/>
          <w:sz w:val="18"/>
          <w:szCs w:val="18"/>
        </w:rPr>
        <w:t>, M.A. An Assessment of the Impact of Coronavirus Disease (COVID-19) Pandemic on National Antimicrobial Consumption in Jordan</w:t>
      </w:r>
    </w:p>
    <w:p w:rsidR="005825FA" w:rsidRPr="002536A7" w:rsidRDefault="005825FA" w:rsidP="005825FA">
      <w:pPr>
        <w:pStyle w:val="ListParagraph"/>
        <w:tabs>
          <w:tab w:val="left" w:pos="384"/>
        </w:tabs>
        <w:spacing w:line="216" w:lineRule="exact"/>
        <w:ind w:right="138" w:firstLine="0"/>
        <w:rPr>
          <w:rFonts w:ascii="Times New Roman" w:hAnsi="Times New Roman" w:cs="Times New Roman"/>
          <w:sz w:val="18"/>
          <w:szCs w:val="18"/>
        </w:rPr>
      </w:pPr>
    </w:p>
    <w:p w:rsidR="005825FA" w:rsidRPr="002536A7" w:rsidRDefault="005825FA" w:rsidP="005825FA">
      <w:pPr>
        <w:pStyle w:val="BodyText"/>
        <w:numPr>
          <w:ilvl w:val="0"/>
          <w:numId w:val="3"/>
        </w:numPr>
        <w:spacing w:line="218" w:lineRule="exact"/>
        <w:jc w:val="both"/>
        <w:rPr>
          <w:rFonts w:ascii="Times New Roman" w:hAnsi="Times New Roman" w:cs="Times New Roman"/>
        </w:rPr>
      </w:pPr>
      <w:r w:rsidRPr="002536A7">
        <w:rPr>
          <w:rFonts w:ascii="Segoe UI" w:hAnsi="Segoe UI" w:cs="Segoe UI"/>
          <w:sz w:val="16"/>
          <w:szCs w:val="16"/>
        </w:rPr>
        <w:t xml:space="preserve">Banat, H. ., </w:t>
      </w:r>
      <w:proofErr w:type="spellStart"/>
      <w:r w:rsidRPr="002536A7">
        <w:rPr>
          <w:rFonts w:ascii="Segoe UI" w:hAnsi="Segoe UI" w:cs="Segoe UI"/>
          <w:sz w:val="16"/>
          <w:szCs w:val="16"/>
        </w:rPr>
        <w:t>Alsbou</w:t>
      </w:r>
      <w:proofErr w:type="spellEnd"/>
      <w:r w:rsidRPr="002536A7">
        <w:rPr>
          <w:rFonts w:ascii="Segoe UI" w:hAnsi="Segoe UI" w:cs="Segoe UI"/>
          <w:sz w:val="16"/>
          <w:szCs w:val="16"/>
        </w:rPr>
        <w:t xml:space="preserve">, M. ., </w:t>
      </w:r>
      <w:proofErr w:type="spellStart"/>
      <w:r w:rsidRPr="002536A7">
        <w:rPr>
          <w:rFonts w:ascii="Segoe UI" w:hAnsi="Segoe UI" w:cs="Segoe UI"/>
          <w:sz w:val="16"/>
          <w:szCs w:val="16"/>
        </w:rPr>
        <w:t>Bawaresh</w:t>
      </w:r>
      <w:proofErr w:type="spellEnd"/>
      <w:r w:rsidRPr="002536A7">
        <w:rPr>
          <w:rFonts w:ascii="Segoe UI" w:hAnsi="Segoe UI" w:cs="Segoe UI"/>
          <w:sz w:val="16"/>
          <w:szCs w:val="16"/>
        </w:rPr>
        <w:t>, N. ., El-</w:t>
      </w:r>
      <w:proofErr w:type="spellStart"/>
      <w:r w:rsidRPr="002536A7">
        <w:rPr>
          <w:rFonts w:ascii="Segoe UI" w:hAnsi="Segoe UI" w:cs="Segoe UI"/>
          <w:sz w:val="16"/>
          <w:szCs w:val="16"/>
        </w:rPr>
        <w:t>Dahiyat</w:t>
      </w:r>
      <w:proofErr w:type="spellEnd"/>
      <w:r w:rsidRPr="002536A7">
        <w:rPr>
          <w:rFonts w:ascii="Segoe UI" w:hAnsi="Segoe UI" w:cs="Segoe UI"/>
          <w:sz w:val="16"/>
          <w:szCs w:val="16"/>
        </w:rPr>
        <w:t xml:space="preserve">, F., Jaber, J. ., </w:t>
      </w:r>
      <w:proofErr w:type="spellStart"/>
      <w:r w:rsidRPr="002536A7">
        <w:rPr>
          <w:rFonts w:ascii="Segoe UI" w:hAnsi="Segoe UI" w:cs="Segoe UI"/>
          <w:sz w:val="16"/>
          <w:szCs w:val="16"/>
        </w:rPr>
        <w:t>Tawalbeh</w:t>
      </w:r>
      <w:proofErr w:type="spellEnd"/>
      <w:r w:rsidRPr="002536A7">
        <w:rPr>
          <w:rFonts w:ascii="Segoe UI" w:hAnsi="Segoe UI" w:cs="Segoe UI"/>
          <w:sz w:val="16"/>
          <w:szCs w:val="16"/>
        </w:rPr>
        <w:t xml:space="preserve">, K. ., Ahmad, D. ., &amp; </w:t>
      </w:r>
      <w:proofErr w:type="spellStart"/>
      <w:proofErr w:type="gramStart"/>
      <w:r w:rsidRPr="002536A7">
        <w:rPr>
          <w:rFonts w:ascii="Segoe UI" w:hAnsi="Segoe UI" w:cs="Segoe UI"/>
          <w:sz w:val="16"/>
          <w:szCs w:val="16"/>
        </w:rPr>
        <w:t>Batarseh</w:t>
      </w:r>
      <w:proofErr w:type="spellEnd"/>
      <w:r w:rsidRPr="002536A7">
        <w:rPr>
          <w:rFonts w:ascii="Segoe UI" w:hAnsi="Segoe UI" w:cs="Segoe UI"/>
          <w:sz w:val="16"/>
          <w:szCs w:val="16"/>
        </w:rPr>
        <w:t xml:space="preserve"> ,</w:t>
      </w:r>
      <w:proofErr w:type="gramEnd"/>
      <w:r w:rsidRPr="002536A7">
        <w:rPr>
          <w:rFonts w:ascii="Segoe UI" w:hAnsi="Segoe UI" w:cs="Segoe UI"/>
          <w:sz w:val="16"/>
          <w:szCs w:val="16"/>
        </w:rPr>
        <w:t xml:space="preserve"> A. . (2022). Assessment of Knowledge, Attitude, and Practice of Physicians toward Pharmacovigilance in Public and Private Hospitals in </w:t>
      </w:r>
      <w:proofErr w:type="gramStart"/>
      <w:r w:rsidRPr="002536A7">
        <w:rPr>
          <w:rFonts w:ascii="Segoe UI" w:hAnsi="Segoe UI" w:cs="Segoe UI"/>
          <w:sz w:val="16"/>
          <w:szCs w:val="16"/>
        </w:rPr>
        <w:t>Jordan . </w:t>
      </w:r>
      <w:proofErr w:type="gramEnd"/>
      <w:r w:rsidRPr="002536A7">
        <w:rPr>
          <w:rFonts w:ascii="Segoe UI" w:hAnsi="Segoe UI" w:cs="Segoe UI"/>
          <w:i/>
          <w:iCs/>
          <w:sz w:val="16"/>
          <w:szCs w:val="16"/>
        </w:rPr>
        <w:t>Jordan Medical Journal</w:t>
      </w:r>
      <w:r w:rsidRPr="002536A7">
        <w:rPr>
          <w:rFonts w:ascii="Segoe UI" w:hAnsi="Segoe UI" w:cs="Segoe UI"/>
          <w:sz w:val="16"/>
          <w:szCs w:val="16"/>
        </w:rPr>
        <w:t>, </w:t>
      </w:r>
      <w:r w:rsidRPr="002536A7">
        <w:rPr>
          <w:rFonts w:ascii="Segoe UI" w:hAnsi="Segoe UI" w:cs="Segoe UI"/>
          <w:i/>
          <w:iCs/>
          <w:sz w:val="16"/>
          <w:szCs w:val="16"/>
        </w:rPr>
        <w:t>56</w:t>
      </w:r>
      <w:r w:rsidRPr="002536A7">
        <w:rPr>
          <w:rFonts w:ascii="Segoe UI" w:hAnsi="Segoe UI" w:cs="Segoe UI"/>
          <w:sz w:val="16"/>
          <w:szCs w:val="16"/>
        </w:rPr>
        <w:t>(4)</w:t>
      </w:r>
    </w:p>
    <w:p w:rsidR="005973B9" w:rsidRPr="002536A7" w:rsidRDefault="005973B9" w:rsidP="005825FA">
      <w:pPr>
        <w:pStyle w:val="BodyText"/>
        <w:numPr>
          <w:ilvl w:val="0"/>
          <w:numId w:val="3"/>
        </w:numPr>
        <w:spacing w:before="85" w:line="216" w:lineRule="exact"/>
        <w:ind w:right="138"/>
        <w:jc w:val="both"/>
        <w:rPr>
          <w:rFonts w:ascii="Times New Roman" w:hAnsi="Times New Roman" w:cs="Times New Roman"/>
        </w:rPr>
      </w:pPr>
      <w:r w:rsidRPr="002536A7">
        <w:rPr>
          <w:rFonts w:ascii="Times New Roman" w:hAnsi="Times New Roman" w:cs="Times New Roman"/>
        </w:rPr>
        <w:t xml:space="preserve"> </w:t>
      </w:r>
      <w:proofErr w:type="spellStart"/>
      <w:r w:rsidR="005825FA" w:rsidRPr="002536A7">
        <w:rPr>
          <w:rFonts w:ascii="Times New Roman" w:hAnsi="Times New Roman" w:cs="Times New Roman"/>
        </w:rPr>
        <w:t>Alsbou</w:t>
      </w:r>
      <w:proofErr w:type="spellEnd"/>
      <w:r w:rsidR="005825FA" w:rsidRPr="002536A7">
        <w:rPr>
          <w:rFonts w:ascii="Times New Roman" w:hAnsi="Times New Roman" w:cs="Times New Roman"/>
        </w:rPr>
        <w:t xml:space="preserve"> M, </w:t>
      </w:r>
      <w:proofErr w:type="spellStart"/>
      <w:r w:rsidR="005825FA" w:rsidRPr="002536A7">
        <w:rPr>
          <w:rFonts w:ascii="Times New Roman" w:hAnsi="Times New Roman" w:cs="Times New Roman"/>
        </w:rPr>
        <w:t>Abdeen</w:t>
      </w:r>
      <w:proofErr w:type="spellEnd"/>
      <w:r w:rsidR="005825FA" w:rsidRPr="002536A7">
        <w:rPr>
          <w:rFonts w:ascii="Times New Roman" w:hAnsi="Times New Roman" w:cs="Times New Roman"/>
        </w:rPr>
        <w:t xml:space="preserve"> G, </w:t>
      </w:r>
      <w:proofErr w:type="spellStart"/>
      <w:r w:rsidR="005825FA" w:rsidRPr="002536A7">
        <w:rPr>
          <w:rFonts w:ascii="Times New Roman" w:hAnsi="Times New Roman" w:cs="Times New Roman"/>
        </w:rPr>
        <w:t>Batarseh</w:t>
      </w:r>
      <w:proofErr w:type="spellEnd"/>
      <w:r w:rsidR="005825FA" w:rsidRPr="002536A7">
        <w:rPr>
          <w:rFonts w:ascii="Times New Roman" w:hAnsi="Times New Roman" w:cs="Times New Roman"/>
        </w:rPr>
        <w:t xml:space="preserve"> A, </w:t>
      </w:r>
      <w:proofErr w:type="spellStart"/>
      <w:r w:rsidR="005825FA" w:rsidRPr="002536A7">
        <w:rPr>
          <w:rFonts w:ascii="Times New Roman" w:hAnsi="Times New Roman" w:cs="Times New Roman"/>
        </w:rPr>
        <w:t>Bawaresh</w:t>
      </w:r>
      <w:proofErr w:type="spellEnd"/>
      <w:r w:rsidR="005825FA" w:rsidRPr="002536A7">
        <w:rPr>
          <w:rFonts w:ascii="Times New Roman" w:hAnsi="Times New Roman" w:cs="Times New Roman"/>
        </w:rPr>
        <w:t xml:space="preserve"> N, </w:t>
      </w:r>
      <w:proofErr w:type="spellStart"/>
      <w:r w:rsidR="005825FA" w:rsidRPr="002536A7">
        <w:rPr>
          <w:rFonts w:ascii="Times New Roman" w:hAnsi="Times New Roman" w:cs="Times New Roman"/>
        </w:rPr>
        <w:t>Jaber</w:t>
      </w:r>
      <w:proofErr w:type="spellEnd"/>
      <w:r w:rsidR="005825FA" w:rsidRPr="002536A7">
        <w:rPr>
          <w:rFonts w:ascii="Times New Roman" w:hAnsi="Times New Roman" w:cs="Times New Roman"/>
        </w:rPr>
        <w:t xml:space="preserve"> J, </w:t>
      </w:r>
      <w:proofErr w:type="spellStart"/>
      <w:r w:rsidR="005825FA" w:rsidRPr="002536A7">
        <w:rPr>
          <w:rFonts w:ascii="Times New Roman" w:hAnsi="Times New Roman" w:cs="Times New Roman"/>
        </w:rPr>
        <w:t>Qawasmi</w:t>
      </w:r>
      <w:proofErr w:type="spellEnd"/>
      <w:r w:rsidR="005825FA" w:rsidRPr="002536A7">
        <w:rPr>
          <w:rFonts w:ascii="Times New Roman" w:hAnsi="Times New Roman" w:cs="Times New Roman"/>
        </w:rPr>
        <w:t xml:space="preserve"> G, </w:t>
      </w:r>
      <w:proofErr w:type="spellStart"/>
      <w:r w:rsidR="005825FA" w:rsidRPr="002536A7">
        <w:rPr>
          <w:rFonts w:ascii="Times New Roman" w:hAnsi="Times New Roman" w:cs="Times New Roman"/>
        </w:rPr>
        <w:t>Maqatef</w:t>
      </w:r>
      <w:proofErr w:type="spellEnd"/>
      <w:r w:rsidR="005825FA" w:rsidRPr="002536A7">
        <w:rPr>
          <w:rFonts w:ascii="Times New Roman" w:hAnsi="Times New Roman" w:cs="Times New Roman"/>
        </w:rPr>
        <w:t xml:space="preserve"> T, Banat H, </w:t>
      </w:r>
      <w:proofErr w:type="spellStart"/>
      <w:r w:rsidR="005825FA" w:rsidRPr="002536A7">
        <w:rPr>
          <w:rFonts w:ascii="Times New Roman" w:hAnsi="Times New Roman" w:cs="Times New Roman"/>
        </w:rPr>
        <w:t>Batayneh</w:t>
      </w:r>
      <w:proofErr w:type="spellEnd"/>
      <w:r w:rsidR="005825FA" w:rsidRPr="002536A7">
        <w:rPr>
          <w:rFonts w:ascii="Times New Roman" w:hAnsi="Times New Roman" w:cs="Times New Roman"/>
        </w:rPr>
        <w:t xml:space="preserve"> A. Analysis of the National Pharmacovigilance Database in Jordan (2010-2014). Biomed </w:t>
      </w:r>
      <w:proofErr w:type="spellStart"/>
      <w:r w:rsidR="005825FA" w:rsidRPr="002536A7">
        <w:rPr>
          <w:rFonts w:ascii="Times New Roman" w:hAnsi="Times New Roman" w:cs="Times New Roman"/>
        </w:rPr>
        <w:t>Pharmacol</w:t>
      </w:r>
      <w:proofErr w:type="spellEnd"/>
      <w:r w:rsidR="005825FA" w:rsidRPr="002536A7">
        <w:rPr>
          <w:rFonts w:ascii="Times New Roman" w:hAnsi="Times New Roman" w:cs="Times New Roman"/>
        </w:rPr>
        <w:t xml:space="preserve"> J 2017;10(1).</w:t>
      </w:r>
    </w:p>
    <w:p w:rsidR="00AE3E37" w:rsidRPr="00401713" w:rsidRDefault="00AE3E37" w:rsidP="008756E6">
      <w:pPr>
        <w:tabs>
          <w:tab w:val="left" w:pos="384"/>
        </w:tabs>
        <w:ind w:right="117"/>
        <w:rPr>
          <w:sz w:val="18"/>
          <w:szCs w:val="18"/>
        </w:rPr>
      </w:pPr>
    </w:p>
    <w:p w:rsidR="00AE3E37" w:rsidRPr="002536A7" w:rsidRDefault="002536A7" w:rsidP="002536A7">
      <w:pPr>
        <w:pStyle w:val="ListParagraph"/>
        <w:numPr>
          <w:ilvl w:val="0"/>
          <w:numId w:val="3"/>
        </w:numPr>
        <w:rPr>
          <w:sz w:val="18"/>
          <w:szCs w:val="18"/>
        </w:rPr>
        <w:sectPr w:rsidR="00AE3E37" w:rsidRPr="002536A7" w:rsidSect="00CF6634">
          <w:type w:val="continuous"/>
          <w:pgSz w:w="11910" w:h="16840"/>
          <w:pgMar w:top="450" w:right="720" w:bottom="360" w:left="720" w:header="720" w:footer="720" w:gutter="0"/>
          <w:cols w:num="2" w:space="720" w:equalWidth="0">
            <w:col w:w="5114" w:space="138"/>
            <w:col w:w="5218"/>
          </w:cols>
          <w:docGrid w:linePitch="299"/>
        </w:sectPr>
      </w:pPr>
      <w:proofErr w:type="spellStart"/>
      <w:r w:rsidRPr="002536A7">
        <w:rPr>
          <w:sz w:val="18"/>
          <w:szCs w:val="18"/>
        </w:rPr>
        <w:t>Alsbou</w:t>
      </w:r>
      <w:proofErr w:type="spellEnd"/>
      <w:r w:rsidRPr="002536A7">
        <w:rPr>
          <w:sz w:val="18"/>
          <w:szCs w:val="18"/>
        </w:rPr>
        <w:t xml:space="preserve"> M, </w:t>
      </w:r>
      <w:proofErr w:type="spellStart"/>
      <w:r w:rsidRPr="002536A7">
        <w:rPr>
          <w:sz w:val="18"/>
          <w:szCs w:val="18"/>
        </w:rPr>
        <w:t>Batarseh</w:t>
      </w:r>
      <w:proofErr w:type="spellEnd"/>
      <w:r w:rsidRPr="002536A7">
        <w:rPr>
          <w:sz w:val="18"/>
          <w:szCs w:val="18"/>
        </w:rPr>
        <w:t xml:space="preserve"> A, </w:t>
      </w:r>
      <w:proofErr w:type="spellStart"/>
      <w:r w:rsidRPr="002536A7">
        <w:rPr>
          <w:sz w:val="18"/>
          <w:szCs w:val="18"/>
        </w:rPr>
        <w:t>Bawaresh</w:t>
      </w:r>
      <w:proofErr w:type="spellEnd"/>
      <w:r w:rsidRPr="002536A7">
        <w:rPr>
          <w:sz w:val="18"/>
          <w:szCs w:val="18"/>
        </w:rPr>
        <w:t xml:space="preserve"> N, </w:t>
      </w:r>
      <w:proofErr w:type="spellStart"/>
      <w:r w:rsidRPr="002536A7">
        <w:rPr>
          <w:sz w:val="18"/>
          <w:szCs w:val="18"/>
        </w:rPr>
        <w:t>Jaber</w:t>
      </w:r>
      <w:proofErr w:type="spellEnd"/>
      <w:r w:rsidRPr="002536A7">
        <w:rPr>
          <w:sz w:val="18"/>
          <w:szCs w:val="18"/>
        </w:rPr>
        <w:t xml:space="preserve"> J, </w:t>
      </w:r>
      <w:proofErr w:type="spellStart"/>
      <w:r w:rsidRPr="002536A7">
        <w:rPr>
          <w:sz w:val="18"/>
          <w:szCs w:val="18"/>
        </w:rPr>
        <w:t>Qawasmi</w:t>
      </w:r>
      <w:proofErr w:type="spellEnd"/>
      <w:r w:rsidRPr="002536A7">
        <w:rPr>
          <w:sz w:val="18"/>
          <w:szCs w:val="18"/>
        </w:rPr>
        <w:t xml:space="preserve"> G, Banat H. Analysis of </w:t>
      </w:r>
      <w:proofErr w:type="spellStart"/>
      <w:r w:rsidRPr="002536A7">
        <w:rPr>
          <w:sz w:val="18"/>
          <w:szCs w:val="18"/>
        </w:rPr>
        <w:t>Antineoplastics</w:t>
      </w:r>
      <w:proofErr w:type="spellEnd"/>
      <w:r w:rsidRPr="002536A7">
        <w:rPr>
          <w:sz w:val="18"/>
          <w:szCs w:val="18"/>
        </w:rPr>
        <w:t xml:space="preserve">, </w:t>
      </w:r>
      <w:proofErr w:type="spellStart"/>
      <w:r w:rsidRPr="002536A7">
        <w:rPr>
          <w:sz w:val="18"/>
          <w:szCs w:val="18"/>
        </w:rPr>
        <w:t>Immunomodulators</w:t>
      </w:r>
      <w:proofErr w:type="spellEnd"/>
      <w:r w:rsidRPr="002536A7">
        <w:rPr>
          <w:sz w:val="18"/>
          <w:szCs w:val="18"/>
        </w:rPr>
        <w:t xml:space="preserve">, Antibiotics and Analgesics Adverse Drug Reactions Reports Submitted to the Pharmacovigilance Database in Jordan. </w:t>
      </w:r>
      <w:proofErr w:type="spellStart"/>
      <w:r w:rsidRPr="002536A7">
        <w:rPr>
          <w:sz w:val="18"/>
          <w:szCs w:val="18"/>
        </w:rPr>
        <w:t>Biosci</w:t>
      </w:r>
      <w:proofErr w:type="spellEnd"/>
      <w:r w:rsidRPr="002536A7">
        <w:rPr>
          <w:sz w:val="18"/>
          <w:szCs w:val="18"/>
        </w:rPr>
        <w:t xml:space="preserve"> Biotech Res Asia 2017;14(2).</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FD7E92A" wp14:editId="7918D1E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74B958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735CB" w:rsidRDefault="001A6C67" w:rsidP="003D0A6A">
      <w:pPr>
        <w:spacing w:before="92"/>
        <w:ind w:right="4234"/>
        <w:rPr>
          <w:rFonts w:ascii="Times New Roman" w:hAnsi="Times New Roman" w:cs="Times New Roman"/>
          <w:sz w:val="20"/>
          <w:szCs w:val="20"/>
        </w:rPr>
      </w:pPr>
      <w:r>
        <w:rPr>
          <w:noProof/>
          <w:lang w:val="en-IN" w:eastAsia="en-IN"/>
        </w:rPr>
        <w:drawing>
          <wp:inline distT="0" distB="0" distL="0" distR="0">
            <wp:extent cx="828675" cy="756285"/>
            <wp:effectExtent l="0" t="0" r="952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33697" cy="760868"/>
                    </a:xfrm>
                    <a:prstGeom prst="rect">
                      <a:avLst/>
                    </a:prstGeom>
                    <a:noFill/>
                    <a:ln>
                      <a:noFill/>
                    </a:ln>
                  </pic:spPr>
                </pic:pic>
              </a:graphicData>
            </a:graphic>
          </wp:inline>
        </w:drawing>
      </w:r>
    </w:p>
    <w:p w:rsidR="00AE3E37" w:rsidRPr="00401713" w:rsidRDefault="00A9710C" w:rsidP="00E735C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rsidR="00B90344" w:rsidRPr="00B90344" w:rsidRDefault="00B90344" w:rsidP="00B90344">
      <w:pPr>
        <w:spacing w:before="41"/>
        <w:ind w:right="231"/>
        <w:rPr>
          <w:rFonts w:ascii="Times New Roman" w:hAnsi="Times New Roman" w:cs="Times New Roman"/>
          <w:sz w:val="20"/>
          <w:szCs w:val="20"/>
        </w:rPr>
      </w:pPr>
      <w:r w:rsidRPr="00B90344">
        <w:rPr>
          <w:rFonts w:ascii="Times New Roman" w:hAnsi="Times New Roman" w:cs="Times New Roman"/>
          <w:sz w:val="20"/>
          <w:szCs w:val="20"/>
        </w:rPr>
        <w:t>Hayaa Banat</w:t>
      </w:r>
    </w:p>
    <w:p w:rsidR="00B90344" w:rsidRPr="00B90344" w:rsidRDefault="00B90344" w:rsidP="00E735CB">
      <w:pPr>
        <w:spacing w:before="41"/>
        <w:ind w:right="231"/>
        <w:jc w:val="both"/>
        <w:rPr>
          <w:rFonts w:ascii="Times New Roman" w:hAnsi="Times New Roman" w:cs="Times New Roman"/>
          <w:sz w:val="20"/>
          <w:szCs w:val="20"/>
        </w:rPr>
      </w:pPr>
      <w:r w:rsidRPr="00B90344">
        <w:rPr>
          <w:rFonts w:ascii="Times New Roman" w:hAnsi="Times New Roman" w:cs="Times New Roman"/>
          <w:sz w:val="20"/>
          <w:szCs w:val="20"/>
        </w:rPr>
        <w:t>Senior pharmacovigilance specialist and the Head of Pharmacovigilance Section in JFDA.</w:t>
      </w:r>
    </w:p>
    <w:p w:rsidR="00B90344" w:rsidRPr="00B90344" w:rsidRDefault="00B90344" w:rsidP="00E735CB">
      <w:pPr>
        <w:spacing w:before="41"/>
        <w:ind w:right="231"/>
        <w:jc w:val="both"/>
        <w:rPr>
          <w:rFonts w:ascii="Times New Roman" w:hAnsi="Times New Roman" w:cs="Times New Roman"/>
          <w:sz w:val="20"/>
          <w:szCs w:val="20"/>
        </w:rPr>
      </w:pPr>
      <w:r w:rsidRPr="00B90344">
        <w:rPr>
          <w:rFonts w:ascii="Times New Roman" w:hAnsi="Times New Roman" w:cs="Times New Roman"/>
          <w:sz w:val="20"/>
          <w:szCs w:val="20"/>
        </w:rPr>
        <w:t xml:space="preserve">Clinical Pharmacist Hayaa Banat received her </w:t>
      </w:r>
      <w:proofErr w:type="spellStart"/>
      <w:r w:rsidRPr="00B90344">
        <w:rPr>
          <w:rFonts w:ascii="Times New Roman" w:hAnsi="Times New Roman" w:cs="Times New Roman"/>
          <w:sz w:val="20"/>
          <w:szCs w:val="20"/>
        </w:rPr>
        <w:t>Pharm.D</w:t>
      </w:r>
      <w:proofErr w:type="spellEnd"/>
      <w:r w:rsidRPr="00B90344">
        <w:rPr>
          <w:rFonts w:ascii="Times New Roman" w:hAnsi="Times New Roman" w:cs="Times New Roman"/>
          <w:sz w:val="20"/>
          <w:szCs w:val="20"/>
        </w:rPr>
        <w:t>. Degree from Jordan University of Science and Technology and is currently working at Jordan food and Drug Administration (JFDA) as the head of pharmacovigilance section. A strong advocate of increasing awareness of the importance of rational drug use, Pharmacovigilance and drug safety. Hayaa participated in several national and international meetings and conferences regarding Pharmacovigilance, quality use of medicines, effective communication. She has an active role in risk management plan (RMP) evaluation, risk minimization measures (RMM) implementation, patient leaflet updates. Hayaa is anxious in encouraging health care providers to build a culture based on patient safety.</w:t>
      </w:r>
      <w:r>
        <w:rPr>
          <w:rFonts w:ascii="Times New Roman" w:hAnsi="Times New Roman" w:cs="Times New Roman"/>
          <w:sz w:val="20"/>
          <w:szCs w:val="20"/>
        </w:rPr>
        <w:t xml:space="preserve"> </w:t>
      </w:r>
      <w:r w:rsidRPr="00B90344">
        <w:rPr>
          <w:rFonts w:ascii="Times New Roman" w:hAnsi="Times New Roman" w:cs="Times New Roman"/>
          <w:sz w:val="20"/>
          <w:szCs w:val="20"/>
        </w:rPr>
        <w:t>Has a good experience in clinical practice mainly in critical care units (ICU, CCU) as she worked as a clinical pharmacist in two of the biggest hospitals in Jordan, King Hussein Cancer Center and Jordan university Hospital.</w:t>
      </w:r>
    </w:p>
    <w:p w:rsidR="003D0A6A" w:rsidRPr="00401713" w:rsidRDefault="003D0A6A" w:rsidP="00F84396">
      <w:pPr>
        <w:spacing w:before="41"/>
        <w:ind w:right="231"/>
        <w:jc w:val="both"/>
        <w:rPr>
          <w:rFonts w:ascii="Times New Roman" w:hAnsi="Times New Roman" w:cs="Times New Roman"/>
          <w:sz w:val="20"/>
          <w:szCs w:val="20"/>
        </w:rPr>
      </w:pPr>
    </w:p>
    <w:p w:rsidR="00AE3E37" w:rsidRPr="003D0A6A" w:rsidRDefault="00401713" w:rsidP="00411741">
      <w:pPr>
        <w:pStyle w:val="ListParagraph"/>
        <w:numPr>
          <w:ilvl w:val="0"/>
          <w:numId w:val="4"/>
        </w:numPr>
        <w:spacing w:before="62"/>
        <w:ind w:right="4235"/>
        <w:rPr>
          <w:rFonts w:ascii="Times New Roman" w:hAnsi="Times New Roman" w:cs="Times New Roman"/>
          <w:sz w:val="20"/>
          <w:szCs w:val="20"/>
        </w:rPr>
      </w:pPr>
      <w:r w:rsidRPr="003D0A6A">
        <w:rPr>
          <w:rFonts w:ascii="Times New Roman" w:hAnsi="Times New Roman" w:cs="Times New Roman"/>
          <w:sz w:val="20"/>
          <w:szCs w:val="20"/>
        </w:rPr>
        <w:t>Email:</w:t>
      </w:r>
      <w:r w:rsidR="00411741">
        <w:rPr>
          <w:rFonts w:ascii="Times New Roman" w:hAnsi="Times New Roman" w:cs="Times New Roman"/>
          <w:sz w:val="20"/>
          <w:szCs w:val="20"/>
        </w:rPr>
        <w:t xml:space="preserve"> hayaa.banat@jfda.jo </w:t>
      </w:r>
    </w:p>
    <w:p w:rsidR="00401713" w:rsidRPr="00EB5503" w:rsidRDefault="00EB5503" w:rsidP="0041174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411741" w:rsidRPr="00411741">
        <w:rPr>
          <w:rFonts w:ascii="Times New Roman" w:hAnsi="Times New Roman" w:cs="Times New Roman"/>
          <w:sz w:val="20"/>
          <w:szCs w:val="20"/>
        </w:rPr>
        <w:t>Hayaa Abdallah Banat</w:t>
      </w:r>
    </w:p>
    <w:p w:rsidR="00401713" w:rsidRDefault="003D0A6A" w:rsidP="00F27B3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University/Organization: </w:t>
      </w:r>
      <w:r w:rsidR="00F27B31" w:rsidRPr="00F27B31">
        <w:rPr>
          <w:rFonts w:ascii="Times New Roman" w:hAnsi="Times New Roman" w:cs="Times New Roman"/>
          <w:sz w:val="20"/>
          <w:szCs w:val="20"/>
        </w:rPr>
        <w:t>Jordan Food</w:t>
      </w:r>
      <w:r w:rsidR="00F27B31">
        <w:rPr>
          <w:rFonts w:ascii="Times New Roman" w:hAnsi="Times New Roman" w:cs="Times New Roman"/>
          <w:sz w:val="20"/>
          <w:szCs w:val="20"/>
        </w:rPr>
        <w:t xml:space="preserve"> and Drug Administration (JFDA)</w:t>
      </w:r>
    </w:p>
    <w:p w:rsidR="003D0A6A"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Country: </w:t>
      </w:r>
      <w:r w:rsidR="00F27B31">
        <w:rPr>
          <w:rFonts w:ascii="Times New Roman" w:hAnsi="Times New Roman" w:cs="Times New Roman"/>
          <w:sz w:val="20"/>
          <w:szCs w:val="20"/>
        </w:rPr>
        <w:t>Jordan</w:t>
      </w:r>
    </w:p>
    <w:p w:rsidR="003D0A6A" w:rsidRPr="00EB5503" w:rsidRDefault="003D0A6A" w:rsidP="003D0A6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F27B31">
        <w:rPr>
          <w:rFonts w:ascii="Times New Roman" w:hAnsi="Times New Roman" w:cs="Times New Roman"/>
          <w:sz w:val="20"/>
          <w:szCs w:val="20"/>
        </w:rPr>
        <w:t>pl.hayaa@gmail.com</w:t>
      </w:r>
    </w:p>
    <w:p w:rsidR="003D0A6A" w:rsidRPr="003D0A6A" w:rsidRDefault="003D0A6A" w:rsidP="003D0A6A">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F27B31">
        <w:rPr>
          <w:rFonts w:ascii="Times New Roman" w:hAnsi="Times New Roman" w:cs="Times New Roman"/>
          <w:sz w:val="20"/>
          <w:szCs w:val="20"/>
        </w:rPr>
        <w:t xml:space="preserve"> +962791996824</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w:t>
      </w:r>
      <w:r w:rsidR="003D0A6A">
        <w:rPr>
          <w:rFonts w:ascii="Times New Roman" w:hAnsi="Times New Roman" w:cs="Times New Roman"/>
          <w:sz w:val="20"/>
          <w:szCs w:val="20"/>
        </w:rPr>
        <w:t>/</w:t>
      </w:r>
      <w:r w:rsidR="00F27B31">
        <w:rPr>
          <w:rFonts w:ascii="Times New Roman" w:hAnsi="Times New Roman" w:cs="Times New Roman"/>
          <w:sz w:val="20"/>
          <w:szCs w:val="20"/>
        </w:rPr>
        <w:t>Track Name</w:t>
      </w:r>
      <w:r w:rsidR="003D0A6A">
        <w:rPr>
          <w:rFonts w:ascii="Times New Roman" w:hAnsi="Times New Roman" w:cs="Times New Roman"/>
          <w:sz w:val="20"/>
          <w:szCs w:val="20"/>
        </w:rPr>
        <w:t xml:space="preserve">: </w:t>
      </w:r>
      <w:r w:rsidR="00F27B31">
        <w:rPr>
          <w:rFonts w:ascii="Times New Roman" w:hAnsi="Times New Roman" w:cs="Times New Roman"/>
          <w:sz w:val="20"/>
          <w:szCs w:val="20"/>
        </w:rPr>
        <w:t>Adverse Drug Reactions (ADRs)</w:t>
      </w:r>
    </w:p>
    <w:p w:rsidR="00401713" w:rsidRPr="001A6C67" w:rsidRDefault="003D0A6A" w:rsidP="001A6C6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w:t>
      </w:r>
      <w:r w:rsidR="00401713" w:rsidRPr="00EB5503">
        <w:rPr>
          <w:rFonts w:ascii="Times New Roman" w:hAnsi="Times New Roman" w:cs="Times New Roman"/>
          <w:sz w:val="20"/>
          <w:szCs w:val="20"/>
        </w:rPr>
        <w:t>/ Poster</w:t>
      </w:r>
      <w:r>
        <w:rPr>
          <w:rFonts w:ascii="Times New Roman" w:hAnsi="Times New Roman" w:cs="Times New Roman"/>
          <w:sz w:val="20"/>
          <w:szCs w:val="20"/>
        </w:rPr>
        <w:t>/ E-poster / Workshop</w:t>
      </w:r>
      <w:r w:rsidR="00401713" w:rsidRPr="00EB5503">
        <w:rPr>
          <w:rFonts w:ascii="Times New Roman" w:hAnsi="Times New Roman" w:cs="Times New Roman"/>
          <w:sz w:val="20"/>
          <w:szCs w:val="20"/>
        </w:rPr>
        <w:t>)</w:t>
      </w:r>
      <w:r>
        <w:rPr>
          <w:rFonts w:ascii="Times New Roman" w:hAnsi="Times New Roman" w:cs="Times New Roman"/>
          <w:sz w:val="20"/>
          <w:szCs w:val="20"/>
        </w:rPr>
        <w:t xml:space="preserve">: </w:t>
      </w:r>
      <w:r w:rsidR="00F27B31">
        <w:rPr>
          <w:rFonts w:ascii="Times New Roman" w:hAnsi="Times New Roman" w:cs="Times New Roman"/>
          <w:sz w:val="20"/>
          <w:szCs w:val="20"/>
        </w:rPr>
        <w:t>Oral</w:t>
      </w:r>
    </w:p>
    <w:p w:rsidR="00AE3E37" w:rsidRPr="00401713" w:rsidRDefault="003D0A6A" w:rsidP="00F84396">
      <w:pPr>
        <w:pStyle w:val="BodyText"/>
        <w:numPr>
          <w:ilvl w:val="0"/>
          <w:numId w:val="4"/>
        </w:numPr>
        <w:rPr>
          <w:rFonts w:ascii="Times New Roman" w:hAnsi="Times New Roman" w:cs="Times New Roman"/>
          <w:sz w:val="20"/>
          <w:szCs w:val="20"/>
        </w:rPr>
      </w:pPr>
      <w:r>
        <w:rPr>
          <w:rFonts w:ascii="Times New Roman" w:hAnsi="Times New Roman" w:cs="Times New Roman"/>
          <w:sz w:val="20"/>
          <w:szCs w:val="20"/>
        </w:rPr>
        <w:t xml:space="preserve">Contact </w:t>
      </w:r>
      <w:r w:rsidR="00401713" w:rsidRPr="00401713">
        <w:rPr>
          <w:rFonts w:ascii="Times New Roman" w:hAnsi="Times New Roman" w:cs="Times New Roman"/>
          <w:sz w:val="20"/>
          <w:szCs w:val="20"/>
        </w:rPr>
        <w:t xml:space="preserve">Address: </w:t>
      </w:r>
      <w:r w:rsidR="00F27B31">
        <w:rPr>
          <w:rFonts w:ascii="Times New Roman" w:hAnsi="Times New Roman" w:cs="Times New Roman"/>
          <w:sz w:val="20"/>
          <w:szCs w:val="20"/>
        </w:rPr>
        <w:t>Jordan, Amman.</w:t>
      </w:r>
    </w:p>
    <w:p w:rsidR="00401713" w:rsidRDefault="00401713">
      <w:pPr>
        <w:rPr>
          <w:rFonts w:ascii="Minion Pro"/>
          <w:sz w:val="24"/>
        </w:rPr>
        <w:sectPr w:rsidR="00401713" w:rsidSect="001A6C67">
          <w:type w:val="continuous"/>
          <w:pgSz w:w="11910" w:h="16840"/>
          <w:pgMar w:top="720" w:right="720" w:bottom="720" w:left="720" w:header="720" w:footer="720" w:gutter="0"/>
          <w:cols w:space="720"/>
          <w:docGrid w:linePitch="299"/>
        </w:sectPr>
      </w:pPr>
    </w:p>
    <w:p w:rsidR="00AE3E37" w:rsidRPr="00401713" w:rsidRDefault="00AE3E37">
      <w:pPr>
        <w:pStyle w:val="BodyText"/>
        <w:spacing w:before="3"/>
        <w:rPr>
          <w:rFonts w:ascii="Times New Roman" w:hAnsi="Times New Roman" w:cs="Times New Roman"/>
          <w:b/>
          <w:sz w:val="24"/>
        </w:rPr>
      </w:pPr>
    </w:p>
    <w:sectPr w:rsidR="00AE3E37" w:rsidRPr="00401713" w:rsidSect="001A6C67">
      <w:type w:val="continuous"/>
      <w:pgSz w:w="11910" w:h="16840"/>
      <w:pgMar w:top="720" w:right="720" w:bottom="720" w:left="720" w:header="720" w:footer="720" w:gutter="0"/>
      <w:cols w:num="2" w:space="720" w:equalWidth="0">
        <w:col w:w="5114" w:space="138"/>
        <w:col w:w="5218"/>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2DD" w:rsidRDefault="00B022DD">
      <w:r>
        <w:separator/>
      </w:r>
    </w:p>
  </w:endnote>
  <w:endnote w:type="continuationSeparator" w:id="0">
    <w:p w:rsidR="00B022DD" w:rsidRDefault="00B02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751DD2F" wp14:editId="1A9F3CC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7751DD2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9EA6225" wp14:editId="5FC421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9EA622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2526337" wp14:editId="2DB4D40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252633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2DD" w:rsidRDefault="00B022DD">
      <w:r>
        <w:separator/>
      </w:r>
    </w:p>
  </w:footnote>
  <w:footnote w:type="continuationSeparator" w:id="0">
    <w:p w:rsidR="00B022DD" w:rsidRDefault="00B022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C8FD961" wp14:editId="059319C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0C8FD961"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509DC"/>
    <w:multiLevelType w:val="hybridMultilevel"/>
    <w:tmpl w:val="E4BC8A78"/>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31C80552"/>
    <w:multiLevelType w:val="hybridMultilevel"/>
    <w:tmpl w:val="34F0619C"/>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CD64E83"/>
    <w:multiLevelType w:val="hybridMultilevel"/>
    <w:tmpl w:val="93A0C5B0"/>
    <w:lvl w:ilvl="0" w:tplc="980A4E5C">
      <w:start w:val="1"/>
      <w:numFmt w:val="decimal"/>
      <w:lvlText w:val="%1."/>
      <w:lvlJc w:val="left"/>
      <w:pPr>
        <w:ind w:left="743" w:hanging="360"/>
      </w:pPr>
      <w:rPr>
        <w:rFonts w:hint="default"/>
      </w:r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4">
    <w:nsid w:val="5E2A4CD3"/>
    <w:multiLevelType w:val="hybridMultilevel"/>
    <w:tmpl w:val="E97CDA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35BBB"/>
    <w:rsid w:val="001A6C67"/>
    <w:rsid w:val="002536A7"/>
    <w:rsid w:val="00292ED9"/>
    <w:rsid w:val="002E5B72"/>
    <w:rsid w:val="003060C2"/>
    <w:rsid w:val="003776C7"/>
    <w:rsid w:val="003C44F5"/>
    <w:rsid w:val="003D0A6A"/>
    <w:rsid w:val="00401713"/>
    <w:rsid w:val="00404E5B"/>
    <w:rsid w:val="00411741"/>
    <w:rsid w:val="00414F7B"/>
    <w:rsid w:val="004355DC"/>
    <w:rsid w:val="00455C3E"/>
    <w:rsid w:val="004749B4"/>
    <w:rsid w:val="00494130"/>
    <w:rsid w:val="004F3523"/>
    <w:rsid w:val="005825FA"/>
    <w:rsid w:val="005973B9"/>
    <w:rsid w:val="005B3A56"/>
    <w:rsid w:val="005D7C65"/>
    <w:rsid w:val="006060CE"/>
    <w:rsid w:val="0063497F"/>
    <w:rsid w:val="00660B67"/>
    <w:rsid w:val="006D061E"/>
    <w:rsid w:val="00742279"/>
    <w:rsid w:val="00770C34"/>
    <w:rsid w:val="00791F24"/>
    <w:rsid w:val="00873DF0"/>
    <w:rsid w:val="008756E6"/>
    <w:rsid w:val="008F4C83"/>
    <w:rsid w:val="009B2D44"/>
    <w:rsid w:val="009E03D1"/>
    <w:rsid w:val="00A07E82"/>
    <w:rsid w:val="00A64CD0"/>
    <w:rsid w:val="00A9710C"/>
    <w:rsid w:val="00AA3FFC"/>
    <w:rsid w:val="00AE3E37"/>
    <w:rsid w:val="00B022DD"/>
    <w:rsid w:val="00B21A57"/>
    <w:rsid w:val="00B24AC1"/>
    <w:rsid w:val="00B90344"/>
    <w:rsid w:val="00C33602"/>
    <w:rsid w:val="00C638D1"/>
    <w:rsid w:val="00C71E95"/>
    <w:rsid w:val="00C86E1F"/>
    <w:rsid w:val="00CD6107"/>
    <w:rsid w:val="00CD6F55"/>
    <w:rsid w:val="00CF6634"/>
    <w:rsid w:val="00D57153"/>
    <w:rsid w:val="00DE3104"/>
    <w:rsid w:val="00E735CB"/>
    <w:rsid w:val="00EB5503"/>
    <w:rsid w:val="00EE6950"/>
    <w:rsid w:val="00F14378"/>
    <w:rsid w:val="00F27B31"/>
    <w:rsid w:val="00F72EEA"/>
    <w:rsid w:val="00F84396"/>
    <w:rsid w:val="00F84CAE"/>
    <w:rsid w:val="00FC7FB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Industrial Chemistry 2022</cp:lastModifiedBy>
  <cp:revision>2</cp:revision>
  <dcterms:created xsi:type="dcterms:W3CDTF">2023-06-15T11:50:00Z</dcterms:created>
  <dcterms:modified xsi:type="dcterms:W3CDTF">2023-06-15T11:50:00Z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