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ind w:left="3007" w:right="3166"/>
      </w:pPr>
      <w:r>
        <w:rPr/>
        <w:t>The</w:t>
      </w:r>
      <w:r>
        <w:rPr>
          <w:spacing w:val="-3"/>
        </w:rPr>
        <w:t> </w:t>
      </w:r>
      <w:r>
        <w:rPr/>
        <w:t>Era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Fake</w:t>
      </w:r>
      <w:r>
        <w:rPr>
          <w:spacing w:val="-2"/>
        </w:rPr>
        <w:t> </w:t>
      </w:r>
      <w:r>
        <w:rPr/>
        <w:t>Medicines:</w:t>
      </w:r>
    </w:p>
    <w:p>
      <w:pPr>
        <w:pStyle w:val="Title"/>
        <w:spacing w:before="185"/>
      </w:pPr>
      <w:r>
        <w:rPr/>
        <w:t>Pharmacovigilance</w:t>
      </w:r>
      <w:r>
        <w:rPr>
          <w:spacing w:val="-2"/>
        </w:rPr>
        <w:t> </w:t>
      </w:r>
      <w:r>
        <w:rPr/>
        <w:t>Data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Counterfeit</w:t>
      </w:r>
      <w:r>
        <w:rPr>
          <w:spacing w:val="-5"/>
        </w:rPr>
        <w:t> </w:t>
      </w:r>
      <w:r>
        <w:rPr/>
        <w:t>Medicines</w:t>
      </w:r>
      <w:r>
        <w:rPr>
          <w:spacing w:val="-4"/>
        </w:rPr>
        <w:t> </w:t>
      </w:r>
      <w:r>
        <w:rPr/>
        <w:t>Used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Erectile</w:t>
      </w:r>
      <w:r>
        <w:rPr>
          <w:spacing w:val="-3"/>
        </w:rPr>
        <w:t> </w:t>
      </w:r>
      <w:r>
        <w:rPr/>
        <w:t>Dysfunction</w:t>
      </w:r>
    </w:p>
    <w:p>
      <w:pPr>
        <w:pStyle w:val="BodyText"/>
        <w:spacing w:before="182"/>
        <w:ind w:left="460" w:right="615"/>
        <w:jc w:val="center"/>
      </w:pPr>
      <w:r>
        <w:rPr/>
        <w:t>Ascenso,</w:t>
      </w:r>
      <w:r>
        <w:rPr>
          <w:spacing w:val="-3"/>
        </w:rPr>
        <w:t> </w:t>
      </w:r>
      <w:r>
        <w:rPr/>
        <w:t>A.,</w:t>
      </w:r>
      <w:r>
        <w:rPr>
          <w:spacing w:val="-1"/>
        </w:rPr>
        <w:t> </w:t>
      </w:r>
      <w:r>
        <w:rPr/>
        <w:t>Fernandes, J.,</w:t>
      </w:r>
      <w:r>
        <w:rPr>
          <w:spacing w:val="-2"/>
        </w:rPr>
        <w:t> </w:t>
      </w:r>
      <w:r>
        <w:rPr/>
        <w:t>Silva,</w:t>
      </w:r>
      <w:r>
        <w:rPr>
          <w:spacing w:val="-3"/>
        </w:rPr>
        <w:t> </w:t>
      </w:r>
      <w:r>
        <w:rPr/>
        <w:t>M.</w:t>
      </w:r>
    </w:p>
    <w:p>
      <w:pPr>
        <w:spacing w:before="182"/>
        <w:ind w:left="459" w:right="616" w:firstLine="0"/>
        <w:jc w:val="center"/>
        <w:rPr>
          <w:i/>
          <w:sz w:val="20"/>
        </w:rPr>
      </w:pPr>
      <w:r>
        <w:rPr>
          <w:i/>
          <w:sz w:val="20"/>
        </w:rPr>
        <w:t>DGRM,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INFARMED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I.P.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line="360" w:lineRule="auto" w:before="142"/>
        <w:ind w:left="102" w:right="109"/>
        <w:jc w:val="both"/>
      </w:pPr>
      <w:r>
        <w:rPr>
          <w:b/>
        </w:rPr>
        <w:t>Background</w:t>
      </w:r>
      <w:r>
        <w:rPr>
          <w:b/>
          <w:spacing w:val="1"/>
        </w:rPr>
        <w:t> </w:t>
      </w:r>
      <w:r>
        <w:rPr>
          <w:b/>
        </w:rPr>
        <w:t>&amp;</w:t>
      </w:r>
      <w:r>
        <w:rPr>
          <w:b/>
          <w:spacing w:val="1"/>
        </w:rPr>
        <w:t> </w:t>
      </w:r>
      <w:r>
        <w:rPr>
          <w:b/>
        </w:rPr>
        <w:t>Aims:</w:t>
      </w:r>
      <w:r>
        <w:rPr>
          <w:b/>
          <w:spacing w:val="1"/>
        </w:rPr>
        <w:t> </w:t>
      </w:r>
      <w:r>
        <w:rPr/>
        <w:t>Substandard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falsified</w:t>
      </w:r>
      <w:r>
        <w:rPr>
          <w:spacing w:val="1"/>
        </w:rPr>
        <w:t> </w:t>
      </w:r>
      <w:r>
        <w:rPr/>
        <w:t>(SF)</w:t>
      </w:r>
      <w:r>
        <w:rPr>
          <w:spacing w:val="1"/>
        </w:rPr>
        <w:t> </w:t>
      </w:r>
      <w:r>
        <w:rPr/>
        <w:t>medicines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public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problem</w:t>
      </w:r>
      <w:r>
        <w:rPr>
          <w:vertAlign w:val="superscript"/>
        </w:rPr>
        <w:t>[1]</w:t>
      </w:r>
      <w:r>
        <w:rPr>
          <w:vertAlign w:val="baseline"/>
        </w:rPr>
        <w:t>. Their use can lead to therapeutic failure or drug resistance besides unknown adverse</w:t>
      </w:r>
      <w:r>
        <w:rPr>
          <w:spacing w:val="1"/>
          <w:vertAlign w:val="baseline"/>
        </w:rPr>
        <w:t> </w:t>
      </w:r>
      <w:r>
        <w:rPr>
          <w:vertAlign w:val="baseline"/>
        </w:rPr>
        <w:t>drug reaction (ADR), thus constituting a significant risk to the public health. There are several</w:t>
      </w:r>
      <w:r>
        <w:rPr>
          <w:spacing w:val="1"/>
          <w:vertAlign w:val="baseline"/>
        </w:rPr>
        <w:t> </w:t>
      </w:r>
      <w:r>
        <w:rPr>
          <w:vertAlign w:val="baseline"/>
        </w:rPr>
        <w:t>therapeutic</w:t>
      </w:r>
      <w:r>
        <w:rPr>
          <w:spacing w:val="-6"/>
          <w:vertAlign w:val="baseline"/>
        </w:rPr>
        <w:t> </w:t>
      </w:r>
      <w:r>
        <w:rPr>
          <w:vertAlign w:val="baseline"/>
        </w:rPr>
        <w:t>classes</w:t>
      </w:r>
      <w:r>
        <w:rPr>
          <w:spacing w:val="-5"/>
          <w:vertAlign w:val="baseline"/>
        </w:rPr>
        <w:t> </w:t>
      </w:r>
      <w:r>
        <w:rPr>
          <w:vertAlign w:val="baseline"/>
        </w:rPr>
        <w:t>that</w:t>
      </w:r>
      <w:r>
        <w:rPr>
          <w:spacing w:val="-2"/>
          <w:vertAlign w:val="baseline"/>
        </w:rPr>
        <w:t> </w:t>
      </w:r>
      <w:r>
        <w:rPr>
          <w:vertAlign w:val="baseline"/>
        </w:rPr>
        <w:t>have</w:t>
      </w:r>
      <w:r>
        <w:rPr>
          <w:spacing w:val="-3"/>
          <w:vertAlign w:val="baseline"/>
        </w:rPr>
        <w:t> </w:t>
      </w:r>
      <w:r>
        <w:rPr>
          <w:vertAlign w:val="baseline"/>
        </w:rPr>
        <w:t>been</w:t>
      </w:r>
      <w:r>
        <w:rPr>
          <w:spacing w:val="-3"/>
          <w:vertAlign w:val="baseline"/>
        </w:rPr>
        <w:t> </w:t>
      </w:r>
      <w:r>
        <w:rPr>
          <w:vertAlign w:val="baseline"/>
        </w:rPr>
        <w:t>counterfeited</w:t>
      </w:r>
      <w:r>
        <w:rPr>
          <w:spacing w:val="-5"/>
          <w:vertAlign w:val="baseline"/>
        </w:rPr>
        <w:t> </w:t>
      </w:r>
      <w:r>
        <w:rPr>
          <w:vertAlign w:val="baseline"/>
        </w:rPr>
        <w:t>mainly</w:t>
      </w:r>
      <w:r>
        <w:rPr>
          <w:spacing w:val="-2"/>
          <w:vertAlign w:val="baseline"/>
        </w:rPr>
        <w:t> </w:t>
      </w:r>
      <w:r>
        <w:rPr>
          <w:vertAlign w:val="baseline"/>
        </w:rPr>
        <w:t>antiretrovirals.</w:t>
      </w:r>
      <w:r>
        <w:rPr>
          <w:spacing w:val="-4"/>
          <w:vertAlign w:val="baseline"/>
        </w:rPr>
        <w:t> </w:t>
      </w:r>
      <w:r>
        <w:rPr>
          <w:vertAlign w:val="baseline"/>
        </w:rPr>
        <w:t>Nonetheless,</w:t>
      </w:r>
      <w:r>
        <w:rPr>
          <w:spacing w:val="-4"/>
          <w:vertAlign w:val="baseline"/>
        </w:rPr>
        <w:t> </w:t>
      </w:r>
      <w:r>
        <w:rPr>
          <w:vertAlign w:val="baseline"/>
        </w:rPr>
        <w:t>counterfeit</w:t>
      </w:r>
      <w:r>
        <w:rPr>
          <w:spacing w:val="-48"/>
          <w:vertAlign w:val="baseline"/>
        </w:rPr>
        <w:t> </w:t>
      </w:r>
      <w:r>
        <w:rPr>
          <w:vertAlign w:val="baseline"/>
        </w:rPr>
        <w:t>medication used for the treatment of erectile dysfunction (ED) has also emerged in the illegal</w:t>
      </w:r>
      <w:r>
        <w:rPr>
          <w:spacing w:val="1"/>
          <w:vertAlign w:val="baseline"/>
        </w:rPr>
        <w:t> </w:t>
      </w:r>
      <w:r>
        <w:rPr>
          <w:vertAlign w:val="baseline"/>
        </w:rPr>
        <w:t>market</w:t>
      </w:r>
      <w:r>
        <w:rPr>
          <w:spacing w:val="-19"/>
          <w:vertAlign w:val="baseline"/>
        </w:rPr>
        <w:t> </w:t>
      </w:r>
      <w:r>
        <w:rPr>
          <w:vertAlign w:val="superscript"/>
        </w:rPr>
        <w:t>[2]</w:t>
      </w:r>
      <w:r>
        <w:rPr>
          <w:vertAlign w:val="baseline"/>
        </w:rPr>
        <w:t>.</w:t>
      </w:r>
    </w:p>
    <w:p>
      <w:pPr>
        <w:pStyle w:val="BodyText"/>
        <w:spacing w:line="357" w:lineRule="auto"/>
        <w:ind w:left="102" w:right="115"/>
        <w:jc w:val="both"/>
      </w:pPr>
      <w:r>
        <w:rPr/>
        <w:t>Herein, it is presented a brief analysis that aimed to describe the Individual Case Safety Reports</w:t>
      </w:r>
      <w:r>
        <w:rPr>
          <w:spacing w:val="1"/>
        </w:rPr>
        <w:t> </w:t>
      </w:r>
      <w:r>
        <w:rPr/>
        <w:t>(ICSRs) related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counterfeit</w:t>
      </w:r>
      <w:r>
        <w:rPr>
          <w:spacing w:val="-1"/>
        </w:rPr>
        <w:t> </w:t>
      </w:r>
      <w:r>
        <w:rPr/>
        <w:t>medication</w:t>
      </w:r>
      <w:r>
        <w:rPr>
          <w:spacing w:val="-2"/>
        </w:rPr>
        <w:t> </w:t>
      </w:r>
      <w:r>
        <w:rPr/>
        <w:t>indicated for the</w:t>
      </w:r>
      <w:r>
        <w:rPr>
          <w:spacing w:val="1"/>
        </w:rPr>
        <w:t> </w:t>
      </w:r>
      <w:r>
        <w:rPr/>
        <w:t>treatment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ED.</w:t>
      </w:r>
    </w:p>
    <w:p>
      <w:pPr>
        <w:pStyle w:val="BodyText"/>
      </w:pPr>
    </w:p>
    <w:p>
      <w:pPr>
        <w:pStyle w:val="BodyText"/>
        <w:spacing w:line="360" w:lineRule="auto" w:before="138"/>
        <w:ind w:left="102" w:right="252"/>
        <w:jc w:val="both"/>
      </w:pPr>
      <w:r>
        <w:rPr>
          <w:b/>
        </w:rPr>
        <w:t>Methods: </w:t>
      </w:r>
      <w:r>
        <w:rPr/>
        <w:t>We conducted a retrospective search of EudraVigilance for all ICSRs obtained in the</w:t>
      </w:r>
      <w:r>
        <w:rPr>
          <w:spacing w:val="1"/>
        </w:rPr>
        <w:t> </w:t>
      </w:r>
      <w:r>
        <w:rPr/>
        <w:t>context of post-authorization monitoring for drugs from the ATC group G04BE. The search was</w:t>
      </w:r>
      <w:r>
        <w:rPr>
          <w:spacing w:val="1"/>
        </w:rPr>
        <w:t> </w:t>
      </w:r>
      <w:r>
        <w:rPr>
          <w:spacing w:val="-1"/>
        </w:rPr>
        <w:t>based</w:t>
      </w:r>
      <w:r>
        <w:rPr>
          <w:spacing w:val="-12"/>
        </w:rPr>
        <w:t> </w:t>
      </w:r>
      <w:r>
        <w:rPr/>
        <w:t>on</w:t>
      </w:r>
      <w:r>
        <w:rPr>
          <w:spacing w:val="-13"/>
        </w:rPr>
        <w:t> </w:t>
      </w:r>
      <w:r>
        <w:rPr/>
        <w:t>ICSRs</w:t>
      </w:r>
      <w:r>
        <w:rPr>
          <w:spacing w:val="-12"/>
        </w:rPr>
        <w:t> </w:t>
      </w:r>
      <w:r>
        <w:rPr/>
        <w:t>that</w:t>
      </w:r>
      <w:r>
        <w:rPr>
          <w:spacing w:val="-11"/>
        </w:rPr>
        <w:t> </w:t>
      </w:r>
      <w:r>
        <w:rPr/>
        <w:t>included</w:t>
      </w:r>
      <w:r>
        <w:rPr>
          <w:spacing w:val="-12"/>
        </w:rPr>
        <w:t> </w:t>
      </w:r>
      <w:r>
        <w:rPr/>
        <w:t>at</w:t>
      </w:r>
      <w:r>
        <w:rPr>
          <w:spacing w:val="-12"/>
        </w:rPr>
        <w:t> </w:t>
      </w:r>
      <w:r>
        <w:rPr/>
        <w:t>least</w:t>
      </w:r>
      <w:r>
        <w:rPr>
          <w:spacing w:val="-11"/>
        </w:rPr>
        <w:t> </w:t>
      </w:r>
      <w:r>
        <w:rPr/>
        <w:t>1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/>
        <w:t>following</w:t>
      </w:r>
      <w:r>
        <w:rPr>
          <w:spacing w:val="-16"/>
        </w:rPr>
        <w:t> </w:t>
      </w:r>
      <w:r>
        <w:rPr/>
        <w:t>preferred</w:t>
      </w:r>
      <w:r>
        <w:rPr>
          <w:spacing w:val="-12"/>
        </w:rPr>
        <w:t> </w:t>
      </w:r>
      <w:r>
        <w:rPr/>
        <w:t>terms</w:t>
      </w:r>
      <w:r>
        <w:rPr>
          <w:spacing w:val="-12"/>
        </w:rPr>
        <w:t> </w:t>
      </w:r>
      <w:r>
        <w:rPr/>
        <w:t>(PT):</w:t>
      </w:r>
      <w:r>
        <w:rPr>
          <w:spacing w:val="-10"/>
        </w:rPr>
        <w:t> </w:t>
      </w:r>
      <w:r>
        <w:rPr/>
        <w:t>Counterfeit</w:t>
      </w:r>
      <w:r>
        <w:rPr>
          <w:spacing w:val="-11"/>
        </w:rPr>
        <w:t> </w:t>
      </w:r>
      <w:r>
        <w:rPr/>
        <w:t>product</w:t>
      </w:r>
      <w:r>
        <w:rPr>
          <w:spacing w:val="-47"/>
        </w:rPr>
        <w:t> </w:t>
      </w:r>
      <w:r>
        <w:rPr/>
        <w:t>administered; Product counterfeit; Product label counterfeit; Product packaging counterfeit;</w:t>
      </w:r>
      <w:r>
        <w:rPr>
          <w:spacing w:val="1"/>
        </w:rPr>
        <w:t> </w:t>
      </w:r>
      <w:r>
        <w:rPr/>
        <w:t>Suspected counterfeit product; Adulterated product; Product tampering or Suspected product</w:t>
      </w:r>
      <w:r>
        <w:rPr>
          <w:spacing w:val="1"/>
        </w:rPr>
        <w:t> </w:t>
      </w:r>
      <w:r>
        <w:rPr/>
        <w:t>tampering</w:t>
      </w:r>
      <w:r>
        <w:rPr>
          <w:spacing w:val="-1"/>
        </w:rPr>
        <w:t> </w:t>
      </w:r>
      <w:r>
        <w:rPr>
          <w:vertAlign w:val="superscript"/>
        </w:rPr>
        <w:t>[3]</w:t>
      </w:r>
      <w:r>
        <w:rPr>
          <w:vertAlign w:val="baseline"/>
        </w:rPr>
        <w:t>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102" w:right="254"/>
        <w:jc w:val="both"/>
      </w:pPr>
      <w:r>
        <w:rPr>
          <w:b/>
        </w:rPr>
        <w:t>Results &amp; Discussion: </w:t>
      </w:r>
      <w:r>
        <w:rPr/>
        <w:t>According to the EudraVigilance data, 77% ICSRs of counterfeit products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non-European Union countries</w:t>
      </w:r>
      <w:r>
        <w:rPr>
          <w:spacing w:val="1"/>
        </w:rPr>
        <w:t> </w:t>
      </w:r>
      <w:r>
        <w:rPr/>
        <w:t>whereas 23%</w:t>
      </w:r>
      <w:r>
        <w:rPr>
          <w:spacing w:val="1"/>
        </w:rPr>
        <w:t> </w:t>
      </w:r>
      <w:r>
        <w:rPr/>
        <w:t>corresponded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European</w:t>
      </w:r>
      <w:r>
        <w:rPr>
          <w:spacing w:val="1"/>
        </w:rPr>
        <w:t> </w:t>
      </w:r>
      <w:r>
        <w:rPr/>
        <w:t>Union</w:t>
      </w:r>
      <w:r>
        <w:rPr>
          <w:spacing w:val="1"/>
        </w:rPr>
        <w:t> </w:t>
      </w:r>
      <w:r>
        <w:rPr/>
        <w:t>countries. Most cases were reported on 2012/13 and only few were reported in the last years</w:t>
      </w:r>
      <w:r>
        <w:rPr>
          <w:spacing w:val="1"/>
        </w:rPr>
        <w:t> </w:t>
      </w:r>
      <w:r>
        <w:rPr/>
        <w:t>probably due to the COVID-19 pandemics. About 60% ICSRs were considered serious, among</w:t>
      </w:r>
      <w:r>
        <w:rPr>
          <w:spacing w:val="1"/>
        </w:rPr>
        <w:t> </w:t>
      </w:r>
      <w:r>
        <w:rPr/>
        <w:t>which 19.4% and 5.8% led to hospitalization and death, respectively. Sildenafil followed by</w:t>
      </w:r>
      <w:r>
        <w:rPr>
          <w:spacing w:val="1"/>
        </w:rPr>
        <w:t> </w:t>
      </w:r>
      <w:r>
        <w:rPr/>
        <w:t>Tadafil were the most prevalent reported drugs. Notably, only 29.7% of searched PT terms</w:t>
      </w:r>
      <w:r>
        <w:rPr>
          <w:spacing w:val="1"/>
        </w:rPr>
        <w:t> </w:t>
      </w:r>
      <w:r>
        <w:rPr/>
        <w:t>corresponded to “counterfeit product administered” while 47.7% was related to “suspected</w:t>
      </w:r>
      <w:r>
        <w:rPr>
          <w:spacing w:val="1"/>
        </w:rPr>
        <w:t> </w:t>
      </w:r>
      <w:r>
        <w:rPr>
          <w:spacing w:val="-1"/>
        </w:rPr>
        <w:t>counterfeit</w:t>
      </w:r>
      <w:r>
        <w:rPr>
          <w:spacing w:val="-11"/>
        </w:rPr>
        <w:t> </w:t>
      </w:r>
      <w:r>
        <w:rPr>
          <w:spacing w:val="-1"/>
        </w:rPr>
        <w:t>product”</w:t>
      </w:r>
      <w:r>
        <w:rPr>
          <w:spacing w:val="-11"/>
        </w:rPr>
        <w:t> </w:t>
      </w:r>
      <w:r>
        <w:rPr/>
        <w:t>which</w:t>
      </w:r>
      <w:r>
        <w:rPr>
          <w:spacing w:val="-17"/>
        </w:rPr>
        <w:t> </w:t>
      </w:r>
      <w:r>
        <w:rPr/>
        <w:t>reveals</w:t>
      </w:r>
      <w:r>
        <w:rPr>
          <w:spacing w:val="-12"/>
        </w:rPr>
        <w:t> </w:t>
      </w:r>
      <w:r>
        <w:rPr/>
        <w:t>that</w:t>
      </w:r>
      <w:r>
        <w:rPr>
          <w:spacing w:val="-16"/>
        </w:rPr>
        <w:t> </w:t>
      </w:r>
      <w:r>
        <w:rPr/>
        <w:t>most</w:t>
      </w:r>
      <w:r>
        <w:rPr>
          <w:spacing w:val="-11"/>
        </w:rPr>
        <w:t> </w:t>
      </w:r>
      <w:r>
        <w:rPr/>
        <w:t>data</w:t>
      </w:r>
      <w:r>
        <w:rPr>
          <w:spacing w:val="-14"/>
        </w:rPr>
        <w:t> </w:t>
      </w:r>
      <w:r>
        <w:rPr/>
        <w:t>need</w:t>
      </w:r>
      <w:r>
        <w:rPr>
          <w:spacing w:val="-12"/>
        </w:rPr>
        <w:t> </w:t>
      </w:r>
      <w:r>
        <w:rPr/>
        <w:t>further</w:t>
      </w:r>
      <w:r>
        <w:rPr>
          <w:spacing w:val="-12"/>
        </w:rPr>
        <w:t> </w:t>
      </w:r>
      <w:r>
        <w:rPr/>
        <w:t>investigation.</w:t>
      </w:r>
      <w:r>
        <w:rPr>
          <w:spacing w:val="-11"/>
        </w:rPr>
        <w:t> </w:t>
      </w:r>
      <w:r>
        <w:rPr/>
        <w:t>About</w:t>
      </w:r>
      <w:r>
        <w:rPr>
          <w:spacing w:val="-11"/>
        </w:rPr>
        <w:t> </w:t>
      </w:r>
      <w:r>
        <w:rPr/>
        <w:t>46.5%</w:t>
      </w:r>
      <w:r>
        <w:rPr>
          <w:spacing w:val="-12"/>
        </w:rPr>
        <w:t> </w:t>
      </w:r>
      <w:r>
        <w:rPr/>
        <w:t>ICSRs</w:t>
      </w:r>
      <w:r>
        <w:rPr>
          <w:spacing w:val="-47"/>
        </w:rPr>
        <w:t> </w:t>
      </w:r>
      <w:r>
        <w:rPr/>
        <w:t>had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PT</w:t>
      </w:r>
      <w:r>
        <w:rPr>
          <w:spacing w:val="-7"/>
        </w:rPr>
        <w:t> </w:t>
      </w:r>
      <w:r>
        <w:rPr/>
        <w:t>related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/>
        <w:t>lack</w:t>
      </w:r>
      <w:r>
        <w:rPr>
          <w:spacing w:val="-10"/>
        </w:rPr>
        <w:t> </w:t>
      </w:r>
      <w:r>
        <w:rPr/>
        <w:t>of</w:t>
      </w:r>
      <w:r>
        <w:rPr>
          <w:spacing w:val="-7"/>
        </w:rPr>
        <w:t> </w:t>
      </w:r>
      <w:r>
        <w:rPr/>
        <w:t>efficacy</w:t>
      </w:r>
      <w:r>
        <w:rPr>
          <w:spacing w:val="-5"/>
        </w:rPr>
        <w:t> </w:t>
      </w:r>
      <w:r>
        <w:rPr/>
        <w:t>and</w:t>
      </w:r>
      <w:r>
        <w:rPr>
          <w:spacing w:val="-11"/>
        </w:rPr>
        <w:t> </w:t>
      </w:r>
      <w:r>
        <w:rPr/>
        <w:t>68%</w:t>
      </w:r>
      <w:r>
        <w:rPr>
          <w:spacing w:val="-6"/>
        </w:rPr>
        <w:t> </w:t>
      </w:r>
      <w:r>
        <w:rPr/>
        <w:t>were</w:t>
      </w:r>
      <w:r>
        <w:rPr>
          <w:spacing w:val="-7"/>
        </w:rPr>
        <w:t> </w:t>
      </w:r>
      <w:r>
        <w:rPr/>
        <w:t>coded</w:t>
      </w:r>
      <w:r>
        <w:rPr>
          <w:spacing w:val="-8"/>
        </w:rPr>
        <w:t> </w:t>
      </w:r>
      <w:r>
        <w:rPr/>
        <w:t>with</w:t>
      </w:r>
      <w:r>
        <w:rPr>
          <w:spacing w:val="-7"/>
        </w:rPr>
        <w:t> </w:t>
      </w:r>
      <w:r>
        <w:rPr/>
        <w:t>at</w:t>
      </w:r>
      <w:r>
        <w:rPr>
          <w:spacing w:val="-8"/>
        </w:rPr>
        <w:t> </w:t>
      </w:r>
      <w:r>
        <w:rPr/>
        <w:t>least</w:t>
      </w:r>
      <w:r>
        <w:rPr>
          <w:spacing w:val="-9"/>
        </w:rPr>
        <w:t> </w:t>
      </w:r>
      <w:r>
        <w:rPr/>
        <w:t>one</w:t>
      </w:r>
      <w:r>
        <w:rPr>
          <w:spacing w:val="-6"/>
        </w:rPr>
        <w:t> </w:t>
      </w:r>
      <w:r>
        <w:rPr/>
        <w:t>ADR,</w:t>
      </w:r>
      <w:r>
        <w:rPr>
          <w:spacing w:val="-10"/>
        </w:rPr>
        <w:t> </w:t>
      </w:r>
      <w:r>
        <w:rPr/>
        <w:t>mainly</w:t>
      </w:r>
      <w:r>
        <w:rPr>
          <w:spacing w:val="-7"/>
        </w:rPr>
        <w:t> </w:t>
      </w:r>
      <w:r>
        <w:rPr/>
        <w:t>headache,</w:t>
      </w:r>
      <w:r>
        <w:rPr>
          <w:spacing w:val="-47"/>
        </w:rPr>
        <w:t> </w:t>
      </w:r>
      <w:r>
        <w:rPr/>
        <w:t>as</w:t>
      </w:r>
      <w:r>
        <w:rPr>
          <w:spacing w:val="-1"/>
        </w:rPr>
        <w:t> </w:t>
      </w:r>
      <w:r>
        <w:rPr/>
        <w:t>reported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 product</w:t>
      </w:r>
      <w:r>
        <w:rPr>
          <w:spacing w:val="1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these</w:t>
      </w:r>
      <w:r>
        <w:rPr>
          <w:spacing w:val="-2"/>
        </w:rPr>
        <w:t> </w:t>
      </w:r>
      <w:r>
        <w:rPr/>
        <w:t>drugs.</w:t>
      </w:r>
    </w:p>
    <w:p>
      <w:pPr>
        <w:pStyle w:val="BodyText"/>
      </w:pP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360" w:lineRule="auto"/>
        <w:ind w:left="102" w:right="255"/>
        <w:jc w:val="both"/>
      </w:pPr>
      <w:r>
        <w:rPr>
          <w:b/>
        </w:rPr>
        <w:t>Conclusion: </w:t>
      </w:r>
      <w:r>
        <w:rPr/>
        <w:t>Overall, these results showed that both counterfeit medicines used for ED and the</w:t>
      </w:r>
      <w:r>
        <w:rPr>
          <w:spacing w:val="1"/>
        </w:rPr>
        <w:t> </w:t>
      </w:r>
      <w:r>
        <w:rPr/>
        <w:t>respective</w:t>
      </w:r>
      <w:r>
        <w:rPr>
          <w:spacing w:val="11"/>
        </w:rPr>
        <w:t> </w:t>
      </w:r>
      <w:r>
        <w:rPr/>
        <w:t>ICSRs</w:t>
      </w:r>
      <w:r>
        <w:rPr>
          <w:spacing w:val="11"/>
        </w:rPr>
        <w:t> </w:t>
      </w:r>
      <w:r>
        <w:rPr/>
        <w:t>need</w:t>
      </w:r>
      <w:r>
        <w:rPr>
          <w:spacing w:val="11"/>
        </w:rPr>
        <w:t> </w:t>
      </w:r>
      <w:r>
        <w:rPr/>
        <w:t>to</w:t>
      </w:r>
      <w:r>
        <w:rPr>
          <w:spacing w:val="13"/>
        </w:rPr>
        <w:t> </w:t>
      </w:r>
      <w:r>
        <w:rPr/>
        <w:t>be</w:t>
      </w:r>
      <w:r>
        <w:rPr>
          <w:spacing w:val="12"/>
        </w:rPr>
        <w:t> </w:t>
      </w:r>
      <w:r>
        <w:rPr/>
        <w:t>monitored.</w:t>
      </w:r>
      <w:r>
        <w:rPr>
          <w:spacing w:val="12"/>
        </w:rPr>
        <w:t> </w:t>
      </w:r>
      <w:r>
        <w:rPr/>
        <w:t>There</w:t>
      </w:r>
      <w:r>
        <w:rPr>
          <w:spacing w:val="12"/>
        </w:rPr>
        <w:t> </w:t>
      </w:r>
      <w:r>
        <w:rPr/>
        <w:t>are</w:t>
      </w:r>
      <w:r>
        <w:rPr>
          <w:spacing w:val="12"/>
        </w:rPr>
        <w:t> </w:t>
      </w:r>
      <w:r>
        <w:rPr/>
        <w:t>still</w:t>
      </w:r>
      <w:r>
        <w:rPr>
          <w:spacing w:val="12"/>
        </w:rPr>
        <w:t> </w:t>
      </w:r>
      <w:r>
        <w:rPr/>
        <w:t>limited</w:t>
      </w:r>
      <w:r>
        <w:rPr>
          <w:spacing w:val="11"/>
        </w:rPr>
        <w:t> </w:t>
      </w:r>
      <w:r>
        <w:rPr/>
        <w:t>data</w:t>
      </w:r>
      <w:r>
        <w:rPr>
          <w:spacing w:val="11"/>
        </w:rPr>
        <w:t> </w:t>
      </w:r>
      <w:r>
        <w:rPr/>
        <w:t>regarding</w:t>
      </w:r>
      <w:r>
        <w:rPr>
          <w:spacing w:val="11"/>
        </w:rPr>
        <w:t> </w:t>
      </w:r>
      <w:r>
        <w:rPr/>
        <w:t>their</w:t>
      </w:r>
      <w:r>
        <w:rPr>
          <w:spacing w:val="11"/>
        </w:rPr>
        <w:t> </w:t>
      </w:r>
      <w:r>
        <w:rPr/>
        <w:t>prevalence</w:t>
      </w:r>
    </w:p>
    <w:p>
      <w:pPr>
        <w:spacing w:after="0" w:line="360" w:lineRule="auto"/>
        <w:jc w:val="both"/>
        <w:sectPr>
          <w:type w:val="continuous"/>
          <w:pgSz w:w="11910" w:h="16840"/>
          <w:pgMar w:top="1360" w:bottom="280" w:left="1600" w:right="1440"/>
        </w:sectPr>
      </w:pPr>
    </w:p>
    <w:p>
      <w:pPr>
        <w:pStyle w:val="BodyText"/>
        <w:spacing w:line="360" w:lineRule="auto" w:before="37"/>
        <w:ind w:left="102" w:right="254"/>
        <w:jc w:val="both"/>
      </w:pPr>
      <w:r>
        <w:rPr/>
        <w:t>and the impact in terms of ADR. As many of those SF medicines are ordered online and not</w:t>
      </w:r>
      <w:r>
        <w:rPr>
          <w:spacing w:val="1"/>
        </w:rPr>
        <w:t> </w:t>
      </w:r>
      <w:r>
        <w:rPr/>
        <w:t>always</w:t>
      </w:r>
      <w:r>
        <w:rPr>
          <w:spacing w:val="1"/>
        </w:rPr>
        <w:t> </w:t>
      </w:r>
      <w:r>
        <w:rPr/>
        <w:t>detected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customs</w:t>
      </w:r>
      <w:r>
        <w:rPr>
          <w:spacing w:val="1"/>
        </w:rPr>
        <w:t> </w:t>
      </w:r>
      <w:r>
        <w:rPr/>
        <w:t>besides</w:t>
      </w:r>
      <w:r>
        <w:rPr>
          <w:spacing w:val="1"/>
        </w:rPr>
        <w:t> </w:t>
      </w:r>
      <w:r>
        <w:rPr/>
        <w:t>several</w:t>
      </w:r>
      <w:r>
        <w:rPr>
          <w:spacing w:val="1"/>
        </w:rPr>
        <w:t> </w:t>
      </w:r>
      <w:r>
        <w:rPr/>
        <w:t>patients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report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ADR,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reality</w:t>
      </w:r>
      <w:r>
        <w:rPr>
          <w:spacing w:val="1"/>
        </w:rPr>
        <w:t> </w:t>
      </w:r>
      <w:r>
        <w:rPr/>
        <w:t>represents</w:t>
      </w:r>
      <w:r>
        <w:rPr>
          <w:spacing w:val="-11"/>
        </w:rPr>
        <w:t> </w:t>
      </w:r>
      <w:r>
        <w:rPr/>
        <w:t>a</w:t>
      </w:r>
      <w:r>
        <w:rPr>
          <w:spacing w:val="-8"/>
        </w:rPr>
        <w:t> </w:t>
      </w:r>
      <w:r>
        <w:rPr/>
        <w:t>real</w:t>
      </w:r>
      <w:r>
        <w:rPr>
          <w:spacing w:val="-10"/>
        </w:rPr>
        <w:t> </w:t>
      </w:r>
      <w:r>
        <w:rPr/>
        <w:t>challenge</w:t>
      </w:r>
      <w:r>
        <w:rPr>
          <w:spacing w:val="-10"/>
        </w:rPr>
        <w:t> </w:t>
      </w:r>
      <w:r>
        <w:rPr/>
        <w:t>for</w:t>
      </w:r>
      <w:r>
        <w:rPr>
          <w:spacing w:val="-8"/>
        </w:rPr>
        <w:t> </w:t>
      </w:r>
      <w:r>
        <w:rPr/>
        <w:t>pharmacovigilance</w:t>
      </w:r>
      <w:r>
        <w:rPr>
          <w:spacing w:val="-10"/>
        </w:rPr>
        <w:t> </w:t>
      </w:r>
      <w:r>
        <w:rPr/>
        <w:t>monitoring.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special</w:t>
      </w:r>
      <w:r>
        <w:rPr>
          <w:spacing w:val="-9"/>
        </w:rPr>
        <w:t> </w:t>
      </w:r>
      <w:r>
        <w:rPr/>
        <w:t>and</w:t>
      </w:r>
      <w:r>
        <w:rPr>
          <w:spacing w:val="-11"/>
        </w:rPr>
        <w:t> </w:t>
      </w:r>
      <w:r>
        <w:rPr/>
        <w:t>shared</w:t>
      </w:r>
      <w:r>
        <w:rPr>
          <w:spacing w:val="-9"/>
        </w:rPr>
        <w:t> </w:t>
      </w:r>
      <w:r>
        <w:rPr/>
        <w:t>effort</w:t>
      </w:r>
      <w:r>
        <w:rPr>
          <w:spacing w:val="-10"/>
        </w:rPr>
        <w:t> </w:t>
      </w:r>
      <w:r>
        <w:rPr/>
        <w:t>would</w:t>
      </w:r>
      <w:r>
        <w:rPr>
          <w:spacing w:val="-48"/>
        </w:rPr>
        <w:t> </w:t>
      </w:r>
      <w:r>
        <w:rPr/>
        <w:t>be</w:t>
      </w:r>
      <w:r>
        <w:rPr>
          <w:spacing w:val="1"/>
        </w:rPr>
        <w:t> </w:t>
      </w:r>
      <w:r>
        <w:rPr/>
        <w:t>welcome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authorities</w:t>
      </w:r>
      <w:r>
        <w:rPr>
          <w:spacing w:val="1"/>
        </w:rPr>
        <w:t> </w:t>
      </w:r>
      <w:r>
        <w:rPr/>
        <w:t>synchronized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governmental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overcome this challenge and detect the SF medicines´ market at “real time”, thus ensuring the</w:t>
      </w:r>
      <w:r>
        <w:rPr>
          <w:spacing w:val="1"/>
        </w:rPr>
        <w:t> </w:t>
      </w:r>
      <w:r>
        <w:rPr/>
        <w:t>main</w:t>
      </w:r>
      <w:r>
        <w:rPr>
          <w:spacing w:val="-3"/>
        </w:rPr>
        <w:t> </w:t>
      </w:r>
      <w:r>
        <w:rPr/>
        <w:t>goal on</w:t>
      </w:r>
      <w:r>
        <w:rPr>
          <w:spacing w:val="-4"/>
        </w:rPr>
        <w:t> </w:t>
      </w:r>
      <w:r>
        <w:rPr/>
        <w:t>public health</w:t>
      </w:r>
      <w:r>
        <w:rPr>
          <w:spacing w:val="-3"/>
        </w:rPr>
        <w:t> </w:t>
      </w:r>
      <w:r>
        <w:rPr/>
        <w:t>–</w:t>
      </w:r>
      <w:r>
        <w:rPr>
          <w:spacing w:val="1"/>
        </w:rPr>
        <w:t> </w:t>
      </w:r>
      <w:r>
        <w:rPr/>
        <w:t>the use</w:t>
      </w:r>
      <w:r>
        <w:rPr>
          <w:spacing w:val="-2"/>
        </w:rPr>
        <w:t> </w:t>
      </w:r>
      <w:r>
        <w:rPr/>
        <w:t>of safe</w:t>
      </w:r>
      <w:r>
        <w:rPr>
          <w:spacing w:val="-2"/>
        </w:rPr>
        <w:t> </w:t>
      </w:r>
      <w:r>
        <w:rPr/>
        <w:t>medicines.</w:t>
      </w:r>
    </w:p>
    <w:p>
      <w:pPr>
        <w:pStyle w:val="BodyText"/>
      </w:pPr>
    </w:p>
    <w:p>
      <w:pPr>
        <w:pStyle w:val="BodyText"/>
        <w:spacing w:before="1"/>
        <w:rPr>
          <w:sz w:val="28"/>
        </w:rPr>
      </w:pPr>
    </w:p>
    <w:p>
      <w:pPr>
        <w:spacing w:before="0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References: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360" w:lineRule="auto" w:before="181" w:after="0"/>
        <w:ind w:left="385" w:right="254" w:hanging="284"/>
        <w:jc w:val="both"/>
        <w:rPr>
          <w:sz w:val="22"/>
        </w:rPr>
      </w:pPr>
      <w:r>
        <w:rPr>
          <w:sz w:val="22"/>
        </w:rPr>
        <w:t>Pozsgai</w:t>
      </w:r>
      <w:r>
        <w:rPr>
          <w:spacing w:val="1"/>
          <w:sz w:val="22"/>
        </w:rPr>
        <w:t> </w:t>
      </w:r>
      <w:r>
        <w:rPr>
          <w:sz w:val="22"/>
        </w:rPr>
        <w:t>K,</w:t>
      </w:r>
      <w:r>
        <w:rPr>
          <w:spacing w:val="1"/>
          <w:sz w:val="22"/>
        </w:rPr>
        <w:t> </w:t>
      </w:r>
      <w:r>
        <w:rPr>
          <w:sz w:val="22"/>
        </w:rPr>
        <w:t>Szűcs</w:t>
      </w:r>
      <w:r>
        <w:rPr>
          <w:spacing w:val="1"/>
          <w:sz w:val="22"/>
        </w:rPr>
        <w:t> </w:t>
      </w:r>
      <w:r>
        <w:rPr>
          <w:sz w:val="22"/>
        </w:rPr>
        <w:t>G,</w:t>
      </w:r>
      <w:r>
        <w:rPr>
          <w:spacing w:val="1"/>
          <w:sz w:val="22"/>
        </w:rPr>
        <w:t> </w:t>
      </w:r>
      <w:r>
        <w:rPr>
          <w:sz w:val="22"/>
        </w:rPr>
        <w:t>Kőnig-Péter</w:t>
      </w:r>
      <w:r>
        <w:rPr>
          <w:spacing w:val="1"/>
          <w:sz w:val="22"/>
        </w:rPr>
        <w:t> </w:t>
      </w:r>
      <w:r>
        <w:rPr>
          <w:sz w:val="22"/>
        </w:rPr>
        <w:t>A,</w:t>
      </w:r>
      <w:r>
        <w:rPr>
          <w:spacing w:val="1"/>
          <w:sz w:val="22"/>
        </w:rPr>
        <w:t> </w:t>
      </w:r>
      <w:r>
        <w:rPr>
          <w:sz w:val="22"/>
        </w:rPr>
        <w:t>Balázs</w:t>
      </w:r>
      <w:r>
        <w:rPr>
          <w:spacing w:val="1"/>
          <w:sz w:val="22"/>
        </w:rPr>
        <w:t> </w:t>
      </w:r>
      <w:r>
        <w:rPr>
          <w:sz w:val="22"/>
        </w:rPr>
        <w:t>O,</w:t>
      </w:r>
      <w:r>
        <w:rPr>
          <w:spacing w:val="1"/>
          <w:sz w:val="22"/>
        </w:rPr>
        <w:t> </w:t>
      </w:r>
      <w:r>
        <w:rPr>
          <w:sz w:val="22"/>
        </w:rPr>
        <w:t>Vajda</w:t>
      </w:r>
      <w:r>
        <w:rPr>
          <w:spacing w:val="1"/>
          <w:sz w:val="22"/>
        </w:rPr>
        <w:t> </w:t>
      </w:r>
      <w:r>
        <w:rPr>
          <w:sz w:val="22"/>
        </w:rPr>
        <w:t>P,</w:t>
      </w:r>
      <w:r>
        <w:rPr>
          <w:spacing w:val="1"/>
          <w:sz w:val="22"/>
        </w:rPr>
        <w:t> </w:t>
      </w:r>
      <w:r>
        <w:rPr>
          <w:sz w:val="22"/>
        </w:rPr>
        <w:t>Botz</w:t>
      </w:r>
      <w:r>
        <w:rPr>
          <w:spacing w:val="1"/>
          <w:sz w:val="22"/>
        </w:rPr>
        <w:t> </w:t>
      </w:r>
      <w:r>
        <w:rPr>
          <w:sz w:val="22"/>
        </w:rPr>
        <w:t>L,</w:t>
      </w:r>
      <w:r>
        <w:rPr>
          <w:spacing w:val="1"/>
          <w:sz w:val="22"/>
        </w:rPr>
        <w:t> </w:t>
      </w:r>
      <w:r>
        <w:rPr>
          <w:sz w:val="22"/>
        </w:rPr>
        <w:t>Vida</w:t>
      </w:r>
      <w:r>
        <w:rPr>
          <w:spacing w:val="1"/>
          <w:sz w:val="22"/>
        </w:rPr>
        <w:t> </w:t>
      </w:r>
      <w:r>
        <w:rPr>
          <w:sz w:val="22"/>
        </w:rPr>
        <w:t>RG.</w:t>
      </w:r>
      <w:r>
        <w:rPr>
          <w:spacing w:val="1"/>
          <w:sz w:val="22"/>
        </w:rPr>
        <w:t> </w:t>
      </w:r>
      <w:r>
        <w:rPr>
          <w:sz w:val="22"/>
        </w:rPr>
        <w:t>Analysis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pharmacovigilance databases for spontaneous reports of adverse drug reactions related to</w:t>
      </w:r>
      <w:r>
        <w:rPr>
          <w:spacing w:val="1"/>
          <w:sz w:val="22"/>
        </w:rPr>
        <w:t> </w:t>
      </w:r>
      <w:r>
        <w:rPr>
          <w:sz w:val="22"/>
        </w:rPr>
        <w:t>substandard and falsified medical products: A descriptive study. Front Pharmacol. 2022 Sep</w:t>
      </w:r>
      <w:r>
        <w:rPr>
          <w:spacing w:val="1"/>
          <w:sz w:val="22"/>
        </w:rPr>
        <w:t> </w:t>
      </w:r>
      <w:r>
        <w:rPr>
          <w:sz w:val="22"/>
        </w:rPr>
        <w:t>6;13:964399.</w:t>
      </w:r>
      <w:r>
        <w:rPr>
          <w:spacing w:val="-4"/>
          <w:sz w:val="22"/>
        </w:rPr>
        <w:t> </w:t>
      </w:r>
      <w:r>
        <w:rPr>
          <w:sz w:val="22"/>
        </w:rPr>
        <w:t>doi:</w:t>
      </w:r>
      <w:r>
        <w:rPr>
          <w:spacing w:val="-4"/>
          <w:sz w:val="22"/>
        </w:rPr>
        <w:t> </w:t>
      </w:r>
      <w:r>
        <w:rPr>
          <w:sz w:val="22"/>
        </w:rPr>
        <w:t>10.3389/fphar.2022.964399.</w:t>
      </w:r>
      <w:r>
        <w:rPr>
          <w:spacing w:val="-5"/>
          <w:sz w:val="22"/>
        </w:rPr>
        <w:t> </w:t>
      </w:r>
      <w:r>
        <w:rPr>
          <w:sz w:val="22"/>
        </w:rPr>
        <w:t>PMID:</w:t>
      </w:r>
      <w:r>
        <w:rPr>
          <w:spacing w:val="-6"/>
          <w:sz w:val="22"/>
        </w:rPr>
        <w:t> </w:t>
      </w:r>
      <w:r>
        <w:rPr>
          <w:sz w:val="22"/>
        </w:rPr>
        <w:t>36147337;</w:t>
      </w:r>
      <w:r>
        <w:rPr>
          <w:spacing w:val="-4"/>
          <w:sz w:val="22"/>
        </w:rPr>
        <w:t> </w:t>
      </w:r>
      <w:r>
        <w:rPr>
          <w:sz w:val="22"/>
        </w:rPr>
        <w:t>PMCID:</w:t>
      </w:r>
      <w:r>
        <w:rPr>
          <w:spacing w:val="-4"/>
          <w:sz w:val="22"/>
        </w:rPr>
        <w:t> </w:t>
      </w:r>
      <w:r>
        <w:rPr>
          <w:sz w:val="22"/>
        </w:rPr>
        <w:t>PMC9485933.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360" w:lineRule="auto" w:before="0" w:after="0"/>
        <w:ind w:left="385" w:right="255" w:hanging="284"/>
        <w:jc w:val="both"/>
        <w:rPr>
          <w:sz w:val="22"/>
        </w:rPr>
      </w:pPr>
      <w:r>
        <w:rPr>
          <w:sz w:val="22"/>
        </w:rPr>
        <w:t>Ho HMK, Xiong Z, Wong HY, Buanz A. The era of fake medicines: Investigating counterfeit</w:t>
      </w:r>
      <w:r>
        <w:rPr>
          <w:spacing w:val="1"/>
          <w:sz w:val="22"/>
        </w:rPr>
        <w:t> </w:t>
      </w:r>
      <w:r>
        <w:rPr>
          <w:sz w:val="22"/>
        </w:rPr>
        <w:t>medicinal products for erectile dysfunction disguised asherbal supplements. Int J Pharm.</w:t>
      </w:r>
      <w:r>
        <w:rPr>
          <w:spacing w:val="1"/>
          <w:sz w:val="22"/>
        </w:rPr>
        <w:t> </w:t>
      </w:r>
      <w:r>
        <w:rPr>
          <w:sz w:val="22"/>
        </w:rPr>
        <w:t>2022 Apr 5;617:121592. doi: 10.1016/j.ijpharm.2022.121592. Epub 2022 Feb 16. PMID:</w:t>
      </w:r>
      <w:r>
        <w:rPr>
          <w:spacing w:val="1"/>
          <w:sz w:val="22"/>
        </w:rPr>
        <w:t> </w:t>
      </w:r>
      <w:r>
        <w:rPr>
          <w:sz w:val="22"/>
        </w:rPr>
        <w:t>35182703.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360" w:lineRule="auto" w:before="1" w:after="0"/>
        <w:ind w:left="385" w:right="254" w:hanging="284"/>
        <w:jc w:val="both"/>
        <w:rPr>
          <w:sz w:val="22"/>
        </w:rPr>
      </w:pPr>
      <w:hyperlink r:id="rId5">
        <w:r>
          <w:rPr>
            <w:sz w:val="22"/>
          </w:rPr>
          <w:t>EudraVigilance</w:t>
        </w:r>
      </w:hyperlink>
      <w:r>
        <w:rPr>
          <w:spacing w:val="1"/>
          <w:sz w:val="22"/>
        </w:rPr>
        <w:t> </w:t>
      </w:r>
      <w:r>
        <w:rPr>
          <w:sz w:val="22"/>
        </w:rPr>
        <w:t>Data:</w:t>
      </w:r>
      <w:r>
        <w:rPr>
          <w:spacing w:val="1"/>
          <w:sz w:val="22"/>
        </w:rPr>
        <w:t> </w:t>
      </w:r>
      <w:r>
        <w:rPr>
          <w:sz w:val="22"/>
        </w:rPr>
        <w:t>https://</w:t>
      </w:r>
      <w:hyperlink r:id="rId6">
        <w:r>
          <w:rPr>
            <w:sz w:val="22"/>
          </w:rPr>
          <w:t>www.ema.europa.eu/en/human-regulatory/research-</w:t>
        </w:r>
      </w:hyperlink>
      <w:r>
        <w:rPr>
          <w:spacing w:val="1"/>
          <w:sz w:val="22"/>
        </w:rPr>
        <w:t> </w:t>
      </w:r>
      <w:r>
        <w:rPr>
          <w:sz w:val="22"/>
        </w:rPr>
        <w:t>development/pharmacovigilance/eudravigilance</w:t>
      </w:r>
      <w:r>
        <w:rPr>
          <w:spacing w:val="49"/>
          <w:sz w:val="22"/>
        </w:rPr>
        <w:t> </w:t>
      </w:r>
      <w:r>
        <w:rPr>
          <w:sz w:val="22"/>
        </w:rPr>
        <w:t>(assessed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05/2023)</w:t>
      </w:r>
    </w:p>
    <w:p>
      <w:pPr>
        <w:spacing w:after="0" w:line="360" w:lineRule="auto"/>
        <w:jc w:val="both"/>
        <w:rPr>
          <w:sz w:val="22"/>
        </w:rPr>
        <w:sectPr>
          <w:pgSz w:w="11910" w:h="16840"/>
          <w:pgMar w:top="1360" w:bottom="280" w:left="1600" w:right="1440"/>
        </w:sectPr>
      </w:pPr>
    </w:p>
    <w:p>
      <w:pPr>
        <w:pStyle w:val="BodyText"/>
        <w:ind w:left="110"/>
        <w:rPr>
          <w:sz w:val="20"/>
        </w:rPr>
      </w:pPr>
      <w:r>
        <w:rPr>
          <w:position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624pt;height:44.9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pStyle w:val="BodyText"/>
                    <w:spacing w:line="256" w:lineRule="auto" w:before="71"/>
                    <w:ind w:left="3737" w:right="521" w:hanging="3197"/>
                  </w:pPr>
                  <w:r>
                    <w:rPr/>
                    <w:t>Table 1- Summary of main variables correspondent to searched PT of ICSRs of counterfeit products for ED from EU and Non EU-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countries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since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2006 to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2022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(Note: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% Rounded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values).</w:t>
                  </w:r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pStyle w:val="BodyText"/>
        <w:spacing w:before="7"/>
        <w:rPr>
          <w:sz w:val="24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6"/>
        <w:gridCol w:w="1208"/>
        <w:gridCol w:w="916"/>
        <w:gridCol w:w="911"/>
        <w:gridCol w:w="2112"/>
        <w:gridCol w:w="4377"/>
        <w:gridCol w:w="1077"/>
      </w:tblGrid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05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Country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64" w:right="53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Number</w:t>
            </w:r>
            <w:r>
              <w:rPr>
                <w:b/>
                <w:spacing w:val="9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ICSR</w:t>
            </w:r>
          </w:p>
        </w:tc>
        <w:tc>
          <w:tcPr>
            <w:tcW w:w="8316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jc w:val="left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VARIABLES</w:t>
            </w:r>
          </w:p>
        </w:tc>
        <w:tc>
          <w:tcPr>
            <w:tcW w:w="1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1"/>
              <w:rPr>
                <w:b/>
                <w:sz w:val="22"/>
              </w:rPr>
            </w:pPr>
            <w:r>
              <w:rPr>
                <w:b/>
                <w:w w:val="87"/>
                <w:sz w:val="22"/>
              </w:rPr>
              <w:t>%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208"/>
              <w:rPr>
                <w:sz w:val="22"/>
              </w:rPr>
            </w:pPr>
            <w:r>
              <w:rPr>
                <w:w w:val="95"/>
                <w:sz w:val="22"/>
              </w:rPr>
              <w:t>USA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64" w:right="48"/>
              <w:rPr>
                <w:sz w:val="22"/>
              </w:rPr>
            </w:pPr>
            <w:r>
              <w:rPr>
                <w:w w:val="95"/>
                <w:sz w:val="22"/>
              </w:rPr>
              <w:t>56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top w:val="single" w:sz="8" w:space="0" w:color="000000"/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top w:val="single" w:sz="8" w:space="0" w:color="000000"/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29"/>
              <w:rPr>
                <w:sz w:val="22"/>
              </w:rPr>
            </w:pPr>
            <w:r>
              <w:rPr>
                <w:w w:val="95"/>
                <w:sz w:val="22"/>
              </w:rPr>
              <w:t>Male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92.4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224" w:right="209"/>
              <w:rPr>
                <w:sz w:val="22"/>
              </w:rPr>
            </w:pPr>
            <w:r>
              <w:rPr>
                <w:w w:val="95"/>
                <w:sz w:val="22"/>
              </w:rPr>
              <w:t>Germany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64" w:right="48"/>
              <w:rPr>
                <w:sz w:val="22"/>
              </w:rPr>
            </w:pPr>
            <w:r>
              <w:rPr>
                <w:w w:val="95"/>
                <w:sz w:val="22"/>
              </w:rPr>
              <w:t>23</w:t>
            </w:r>
          </w:p>
        </w:tc>
        <w:tc>
          <w:tcPr>
            <w:tcW w:w="3939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938"/>
              <w:jc w:val="left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Sex</w:t>
            </w: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848" w:right="837"/>
              <w:rPr>
                <w:sz w:val="22"/>
              </w:rPr>
            </w:pPr>
            <w:r>
              <w:rPr>
                <w:w w:val="95"/>
                <w:sz w:val="22"/>
              </w:rPr>
              <w:t>Female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1.7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199"/>
              <w:rPr>
                <w:sz w:val="22"/>
              </w:rPr>
            </w:pPr>
            <w:r>
              <w:rPr>
                <w:w w:val="95"/>
                <w:sz w:val="22"/>
              </w:rPr>
              <w:t>UK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64" w:right="48"/>
              <w:rPr>
                <w:sz w:val="22"/>
              </w:rPr>
            </w:pPr>
            <w:r>
              <w:rPr>
                <w:w w:val="95"/>
                <w:sz w:val="22"/>
              </w:rPr>
              <w:t>14</w:t>
            </w:r>
          </w:p>
        </w:tc>
        <w:tc>
          <w:tcPr>
            <w:tcW w:w="916" w:type="dxa"/>
            <w:tcBorders>
              <w:left w:val="single" w:sz="8" w:space="0" w:color="000000"/>
              <w:bottom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bottom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4" w:space="0" w:color="D3D3D3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32"/>
              <w:rPr>
                <w:sz w:val="22"/>
              </w:rPr>
            </w:pPr>
            <w:r>
              <w:rPr>
                <w:w w:val="95"/>
                <w:sz w:val="22"/>
              </w:rPr>
              <w:t>Unknown</w:t>
            </w:r>
          </w:p>
        </w:tc>
        <w:tc>
          <w:tcPr>
            <w:tcW w:w="1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5.8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04"/>
              <w:rPr>
                <w:sz w:val="22"/>
              </w:rPr>
            </w:pPr>
            <w:r>
              <w:rPr>
                <w:w w:val="95"/>
                <w:sz w:val="22"/>
              </w:rPr>
              <w:t>China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64" w:right="48"/>
              <w:rPr>
                <w:sz w:val="22"/>
              </w:rPr>
            </w:pPr>
            <w:r>
              <w:rPr>
                <w:w w:val="95"/>
                <w:sz w:val="22"/>
              </w:rPr>
              <w:t>10</w:t>
            </w:r>
          </w:p>
        </w:tc>
        <w:tc>
          <w:tcPr>
            <w:tcW w:w="393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25"/>
              <w:rPr>
                <w:sz w:val="22"/>
              </w:rPr>
            </w:pPr>
            <w:r>
              <w:rPr>
                <w:w w:val="95"/>
                <w:sz w:val="22"/>
              </w:rPr>
              <w:t>Yes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59.9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224" w:right="211"/>
              <w:rPr>
                <w:sz w:val="22"/>
              </w:rPr>
            </w:pPr>
            <w:r>
              <w:rPr>
                <w:w w:val="95"/>
                <w:sz w:val="22"/>
              </w:rPr>
              <w:t>Japan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64" w:right="48"/>
              <w:rPr>
                <w:sz w:val="22"/>
              </w:rPr>
            </w:pPr>
            <w:r>
              <w:rPr>
                <w:w w:val="95"/>
                <w:sz w:val="22"/>
              </w:rPr>
              <w:t>10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before="14"/>
              <w:ind w:left="386"/>
              <w:jc w:val="left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Seriousness</w:t>
            </w:r>
          </w:p>
        </w:tc>
        <w:tc>
          <w:tcPr>
            <w:tcW w:w="2112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848" w:right="827"/>
              <w:rPr>
                <w:sz w:val="22"/>
              </w:rPr>
            </w:pPr>
            <w:r>
              <w:rPr>
                <w:w w:val="95"/>
                <w:sz w:val="22"/>
              </w:rPr>
              <w:t>No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34.3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13"/>
              <w:rPr>
                <w:sz w:val="22"/>
              </w:rPr>
            </w:pPr>
            <w:r>
              <w:rPr>
                <w:w w:val="95"/>
                <w:sz w:val="22"/>
              </w:rPr>
              <w:t>Australia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64" w:right="48"/>
              <w:rPr>
                <w:sz w:val="22"/>
              </w:rPr>
            </w:pPr>
            <w:r>
              <w:rPr>
                <w:w w:val="95"/>
                <w:sz w:val="22"/>
              </w:rPr>
              <w:t>10</w:t>
            </w:r>
          </w:p>
        </w:tc>
        <w:tc>
          <w:tcPr>
            <w:tcW w:w="3939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32"/>
              <w:rPr>
                <w:sz w:val="22"/>
              </w:rPr>
            </w:pPr>
            <w:r>
              <w:rPr>
                <w:w w:val="85"/>
                <w:sz w:val="22"/>
              </w:rPr>
              <w:t>Not</w:t>
            </w:r>
            <w:r>
              <w:rPr>
                <w:spacing w:val="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known</w:t>
            </w:r>
          </w:p>
        </w:tc>
        <w:tc>
          <w:tcPr>
            <w:tcW w:w="1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5.8</w:t>
            </w:r>
          </w:p>
        </w:tc>
      </w:tr>
      <w:tr>
        <w:trPr>
          <w:trHeight w:val="277" w:hRule="atLeast"/>
        </w:trPr>
        <w:tc>
          <w:tcPr>
            <w:tcW w:w="1956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224" w:right="212"/>
              <w:rPr>
                <w:sz w:val="22"/>
              </w:rPr>
            </w:pPr>
            <w:r>
              <w:rPr>
                <w:w w:val="95"/>
                <w:sz w:val="22"/>
              </w:rPr>
              <w:t>Brazil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7</w:t>
            </w:r>
          </w:p>
        </w:tc>
        <w:tc>
          <w:tcPr>
            <w:tcW w:w="916" w:type="dxa"/>
            <w:tcBorders>
              <w:left w:val="single" w:sz="8" w:space="0" w:color="000000"/>
              <w:bottom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bottom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4" w:space="0" w:color="D3D3D3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39"/>
              <w:rPr>
                <w:sz w:val="22"/>
              </w:rPr>
            </w:pPr>
            <w:r>
              <w:rPr>
                <w:w w:val="95"/>
                <w:sz w:val="22"/>
              </w:rPr>
              <w:t>Death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5.8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05"/>
              <w:rPr>
                <w:sz w:val="22"/>
              </w:rPr>
            </w:pPr>
            <w:r>
              <w:rPr>
                <w:w w:val="85"/>
                <w:sz w:val="22"/>
              </w:rPr>
              <w:t>Korea</w:t>
            </w:r>
            <w:r>
              <w:rPr>
                <w:spacing w:val="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(Rep.)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6</w:t>
            </w:r>
          </w:p>
        </w:tc>
        <w:tc>
          <w:tcPr>
            <w:tcW w:w="393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06"/>
              <w:jc w:val="left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Seriousness</w:t>
            </w:r>
            <w:r>
              <w:rPr>
                <w:b/>
                <w:spacing w:val="1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criteria</w:t>
            </w: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37"/>
              <w:rPr>
                <w:sz w:val="22"/>
              </w:rPr>
            </w:pPr>
            <w:r>
              <w:rPr>
                <w:w w:val="85"/>
                <w:sz w:val="22"/>
              </w:rPr>
              <w:t>Life</w:t>
            </w:r>
            <w:r>
              <w:rPr>
                <w:spacing w:val="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risk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2.9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201"/>
              <w:rPr>
                <w:sz w:val="22"/>
              </w:rPr>
            </w:pPr>
            <w:r>
              <w:rPr>
                <w:w w:val="95"/>
                <w:sz w:val="22"/>
              </w:rPr>
              <w:t>Turkey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6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34"/>
              <w:rPr>
                <w:sz w:val="22"/>
              </w:rPr>
            </w:pPr>
            <w:r>
              <w:rPr>
                <w:w w:val="95"/>
                <w:sz w:val="22"/>
              </w:rPr>
              <w:t>Hospitalization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19.4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04"/>
              <w:rPr>
                <w:sz w:val="22"/>
              </w:rPr>
            </w:pPr>
            <w:r>
              <w:rPr>
                <w:w w:val="95"/>
                <w:sz w:val="22"/>
              </w:rPr>
              <w:t>Canada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5</w:t>
            </w:r>
          </w:p>
        </w:tc>
        <w:tc>
          <w:tcPr>
            <w:tcW w:w="393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71"/>
              <w:rPr>
                <w:sz w:val="22"/>
              </w:rPr>
            </w:pPr>
            <w:r>
              <w:rPr>
                <w:w w:val="95"/>
                <w:sz w:val="22"/>
              </w:rPr>
              <w:t>Other</w:t>
            </w:r>
          </w:p>
        </w:tc>
        <w:tc>
          <w:tcPr>
            <w:tcW w:w="1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71.8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211"/>
              <w:rPr>
                <w:sz w:val="22"/>
              </w:rPr>
            </w:pPr>
            <w:r>
              <w:rPr>
                <w:w w:val="95"/>
                <w:sz w:val="22"/>
              </w:rPr>
              <w:t>Ireland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3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top w:val="single" w:sz="8" w:space="0" w:color="000000"/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4" w:right="872"/>
              <w:rPr>
                <w:sz w:val="22"/>
              </w:rPr>
            </w:pPr>
            <w:r>
              <w:rPr>
                <w:w w:val="85"/>
                <w:sz w:val="22"/>
              </w:rPr>
              <w:t>Suspected</w:t>
            </w:r>
            <w:r>
              <w:rPr>
                <w:spacing w:val="1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counterfeit</w:t>
            </w:r>
            <w:r>
              <w:rPr>
                <w:spacing w:val="1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product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47.7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08"/>
              <w:rPr>
                <w:sz w:val="22"/>
              </w:rPr>
            </w:pPr>
            <w:r>
              <w:rPr>
                <w:w w:val="95"/>
                <w:sz w:val="22"/>
              </w:rPr>
              <w:t>France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3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71" w:right="393"/>
              <w:rPr>
                <w:b/>
                <w:i/>
                <w:sz w:val="22"/>
              </w:rPr>
            </w:pPr>
            <w:r>
              <w:rPr>
                <w:b/>
                <w:i/>
                <w:w w:val="95"/>
                <w:sz w:val="22"/>
              </w:rPr>
              <w:t>Counterfection</w:t>
            </w: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72"/>
              <w:rPr>
                <w:sz w:val="22"/>
              </w:rPr>
            </w:pPr>
            <w:r>
              <w:rPr>
                <w:w w:val="85"/>
                <w:sz w:val="22"/>
              </w:rPr>
              <w:t>Counterfeit</w:t>
            </w:r>
            <w:r>
              <w:rPr>
                <w:spacing w:val="1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product</w:t>
            </w:r>
            <w:r>
              <w:rPr>
                <w:spacing w:val="1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administered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29.7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224" w:right="212"/>
              <w:rPr>
                <w:sz w:val="22"/>
              </w:rPr>
            </w:pPr>
            <w:r>
              <w:rPr>
                <w:w w:val="95"/>
                <w:sz w:val="22"/>
              </w:rPr>
              <w:t>Austria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2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67"/>
              <w:rPr>
                <w:sz w:val="22"/>
              </w:rPr>
            </w:pPr>
            <w:r>
              <w:rPr>
                <w:w w:val="85"/>
                <w:sz w:val="22"/>
              </w:rPr>
              <w:t>Product</w:t>
            </w:r>
            <w:r>
              <w:rPr>
                <w:spacing w:val="9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counterfeit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22.1</w:t>
            </w:r>
          </w:p>
        </w:tc>
      </w:tr>
      <w:tr>
        <w:trPr>
          <w:trHeight w:val="297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32"/>
              <w:ind w:left="224" w:right="212"/>
              <w:rPr>
                <w:sz w:val="22"/>
              </w:rPr>
            </w:pPr>
            <w:r>
              <w:rPr>
                <w:w w:val="95"/>
                <w:sz w:val="22"/>
              </w:rPr>
              <w:t>Finland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32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2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32"/>
              <w:ind w:left="848" w:right="835"/>
              <w:rPr>
                <w:sz w:val="22"/>
              </w:rPr>
            </w:pPr>
            <w:r>
              <w:rPr>
                <w:w w:val="85"/>
                <w:sz w:val="22"/>
              </w:rPr>
              <w:t>Product</w:t>
            </w:r>
            <w:r>
              <w:rPr>
                <w:spacing w:val="1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Tampering</w:t>
            </w:r>
          </w:p>
        </w:tc>
        <w:tc>
          <w:tcPr>
            <w:tcW w:w="1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32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0.6</w:t>
            </w:r>
          </w:p>
        </w:tc>
      </w:tr>
      <w:tr>
        <w:trPr>
          <w:trHeight w:val="277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206"/>
              <w:rPr>
                <w:sz w:val="22"/>
              </w:rPr>
            </w:pPr>
            <w:r>
              <w:rPr>
                <w:w w:val="85"/>
                <w:sz w:val="22"/>
              </w:rPr>
              <w:t>Hong</w:t>
            </w:r>
            <w:r>
              <w:rPr>
                <w:spacing w:val="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Kong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2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71" w:right="358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Efficacy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67"/>
              <w:rPr>
                <w:sz w:val="22"/>
              </w:rPr>
            </w:pPr>
            <w:r>
              <w:rPr>
                <w:w w:val="85"/>
                <w:sz w:val="22"/>
              </w:rPr>
              <w:t>Drug</w:t>
            </w:r>
            <w:r>
              <w:rPr>
                <w:spacing w:val="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ineffective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46.5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11"/>
              <w:rPr>
                <w:sz w:val="22"/>
              </w:rPr>
            </w:pPr>
            <w:r>
              <w:rPr>
                <w:w w:val="95"/>
                <w:sz w:val="22"/>
              </w:rPr>
              <w:t>Sweden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78"/>
              <w:jc w:val="left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PT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30"/>
              <w:rPr>
                <w:sz w:val="22"/>
              </w:rPr>
            </w:pPr>
            <w:r>
              <w:rPr>
                <w:w w:val="95"/>
                <w:sz w:val="22"/>
              </w:rPr>
              <w:t>Headache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4.7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224" w:right="204"/>
              <w:rPr>
                <w:sz w:val="22"/>
              </w:rPr>
            </w:pPr>
            <w:r>
              <w:rPr>
                <w:w w:val="95"/>
                <w:sz w:val="22"/>
              </w:rPr>
              <w:t>Argentina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848" w:right="841"/>
              <w:rPr>
                <w:sz w:val="22"/>
              </w:rPr>
            </w:pPr>
            <w:r>
              <w:rPr>
                <w:w w:val="85"/>
                <w:sz w:val="22"/>
              </w:rPr>
              <w:t>Erection</w:t>
            </w:r>
            <w:r>
              <w:rPr>
                <w:spacing w:val="1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increased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2.7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11"/>
              <w:rPr>
                <w:sz w:val="22"/>
              </w:rPr>
            </w:pPr>
            <w:r>
              <w:rPr>
                <w:w w:val="95"/>
                <w:sz w:val="22"/>
              </w:rPr>
              <w:t>Taiwan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848" w:right="834"/>
              <w:rPr>
                <w:sz w:val="22"/>
              </w:rPr>
            </w:pPr>
            <w:r>
              <w:rPr>
                <w:w w:val="95"/>
                <w:sz w:val="22"/>
              </w:rPr>
              <w:t>Dizziness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2.4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224" w:right="204"/>
              <w:rPr>
                <w:sz w:val="22"/>
              </w:rPr>
            </w:pPr>
            <w:r>
              <w:rPr>
                <w:w w:val="95"/>
                <w:sz w:val="22"/>
              </w:rPr>
              <w:t>Israel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371" w:right="384"/>
              <w:rPr>
                <w:b/>
                <w:i/>
                <w:sz w:val="22"/>
              </w:rPr>
            </w:pPr>
            <w:r>
              <w:rPr>
                <w:b/>
                <w:i/>
                <w:w w:val="95"/>
                <w:sz w:val="22"/>
              </w:rPr>
              <w:t>ADR</w:t>
            </w: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848" w:right="834"/>
              <w:rPr>
                <w:sz w:val="22"/>
              </w:rPr>
            </w:pPr>
            <w:r>
              <w:rPr>
                <w:w w:val="85"/>
                <w:sz w:val="22"/>
              </w:rPr>
              <w:t>Myocardial</w:t>
            </w:r>
            <w:r>
              <w:rPr>
                <w:spacing w:val="2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infarction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2.0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224" w:right="208"/>
              <w:rPr>
                <w:sz w:val="22"/>
              </w:rPr>
            </w:pPr>
            <w:r>
              <w:rPr>
                <w:w w:val="95"/>
                <w:sz w:val="22"/>
              </w:rPr>
              <w:t>Denmark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848" w:right="838"/>
              <w:rPr>
                <w:sz w:val="22"/>
              </w:rPr>
            </w:pPr>
            <w:r>
              <w:rPr>
                <w:w w:val="95"/>
                <w:sz w:val="22"/>
              </w:rPr>
              <w:t>Malaise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2.0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207"/>
              <w:rPr>
                <w:sz w:val="22"/>
              </w:rPr>
            </w:pPr>
            <w:r>
              <w:rPr>
                <w:w w:val="95"/>
                <w:sz w:val="22"/>
              </w:rPr>
              <w:t>Belgium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41"/>
              <w:rPr>
                <w:sz w:val="22"/>
              </w:rPr>
            </w:pPr>
            <w:r>
              <w:rPr>
                <w:w w:val="95"/>
                <w:sz w:val="22"/>
              </w:rPr>
              <w:t>Nausea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2.0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224" w:right="203"/>
              <w:rPr>
                <w:sz w:val="22"/>
              </w:rPr>
            </w:pPr>
            <w:r>
              <w:rPr>
                <w:w w:val="95"/>
                <w:sz w:val="22"/>
              </w:rPr>
              <w:t>Switzerland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18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848" w:right="835"/>
              <w:rPr>
                <w:sz w:val="22"/>
              </w:rPr>
            </w:pPr>
            <w:r>
              <w:rPr>
                <w:w w:val="85"/>
                <w:sz w:val="22"/>
              </w:rPr>
              <w:t>Loss</w:t>
            </w:r>
            <w:r>
              <w:rPr>
                <w:spacing w:val="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consciousness</w:t>
            </w:r>
          </w:p>
        </w:tc>
        <w:tc>
          <w:tcPr>
            <w:tcW w:w="10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2.0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24" w:right="204"/>
              <w:rPr>
                <w:sz w:val="22"/>
              </w:rPr>
            </w:pPr>
            <w:r>
              <w:rPr>
                <w:w w:val="95"/>
                <w:sz w:val="22"/>
              </w:rPr>
              <w:t>Colombia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16" w:type="dxa"/>
            <w:tcBorders>
              <w:left w:val="single" w:sz="8" w:space="0" w:color="000000"/>
              <w:bottom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848" w:right="833"/>
              <w:rPr>
                <w:sz w:val="22"/>
              </w:rPr>
            </w:pPr>
            <w:r>
              <w:rPr>
                <w:w w:val="95"/>
                <w:sz w:val="22"/>
              </w:rPr>
              <w:t>Hypertension</w:t>
            </w:r>
          </w:p>
        </w:tc>
        <w:tc>
          <w:tcPr>
            <w:tcW w:w="10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1" w:right="315"/>
              <w:rPr>
                <w:sz w:val="22"/>
              </w:rPr>
            </w:pPr>
            <w:r>
              <w:rPr>
                <w:w w:val="95"/>
                <w:sz w:val="22"/>
              </w:rPr>
              <w:t>1.7</w:t>
            </w:r>
          </w:p>
        </w:tc>
      </w:tr>
      <w:tr>
        <w:trPr>
          <w:trHeight w:val="278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224" w:right="207"/>
              <w:rPr>
                <w:sz w:val="22"/>
              </w:rPr>
            </w:pPr>
            <w:r>
              <w:rPr>
                <w:w w:val="85"/>
                <w:sz w:val="22"/>
              </w:rPr>
              <w:t>Czech</w:t>
            </w:r>
            <w:r>
              <w:rPr>
                <w:spacing w:val="1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Republic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393" w:type="dxa"/>
            <w:gridSpan w:val="5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224" w:right="205"/>
              <w:rPr>
                <w:sz w:val="22"/>
              </w:rPr>
            </w:pPr>
            <w:r>
              <w:rPr>
                <w:w w:val="95"/>
                <w:sz w:val="22"/>
              </w:rPr>
              <w:t>Netherlands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83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50" w:lineRule="exact"/>
              <w:ind w:left="224" w:right="201"/>
              <w:rPr>
                <w:sz w:val="22"/>
              </w:rPr>
            </w:pPr>
            <w:r>
              <w:rPr>
                <w:w w:val="95"/>
                <w:sz w:val="22"/>
              </w:rPr>
              <w:t>Hungary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50" w:lineRule="exact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393" w:type="dxa"/>
            <w:gridSpan w:val="5"/>
            <w:tcBorders>
              <w:lef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9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"/>
              <w:ind w:left="224" w:right="203"/>
              <w:rPr>
                <w:sz w:val="22"/>
              </w:rPr>
            </w:pPr>
            <w:r>
              <w:rPr>
                <w:w w:val="95"/>
                <w:sz w:val="22"/>
              </w:rPr>
              <w:t>Poland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1956" w:type="dxa"/>
            <w:tcBorders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224" w:right="213"/>
              <w:rPr>
                <w:sz w:val="22"/>
              </w:rPr>
            </w:pPr>
            <w:r>
              <w:rPr>
                <w:w w:val="85"/>
                <w:sz w:val="22"/>
              </w:rPr>
              <w:t>Russian</w:t>
            </w:r>
            <w:r>
              <w:rPr>
                <w:spacing w:val="1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Federation</w:t>
            </w:r>
          </w:p>
        </w:tc>
        <w:tc>
          <w:tcPr>
            <w:tcW w:w="12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4"/>
              <w:ind w:left="18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9393" w:type="dxa"/>
            <w:gridSpan w:val="5"/>
            <w:tcBorders>
              <w:lef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19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9" w:lineRule="exact"/>
              <w:ind w:left="224" w:right="201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Total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9" w:lineRule="exact"/>
              <w:ind w:left="64" w:right="48"/>
              <w:rPr>
                <w:b/>
                <w:sz w:val="22"/>
              </w:rPr>
            </w:pPr>
            <w:r>
              <w:rPr>
                <w:b/>
                <w:w w:val="95"/>
                <w:sz w:val="22"/>
              </w:rPr>
              <w:t>172</w:t>
            </w:r>
          </w:p>
        </w:tc>
        <w:tc>
          <w:tcPr>
            <w:tcW w:w="916" w:type="dxa"/>
            <w:tcBorders>
              <w:left w:val="single" w:sz="8" w:space="0" w:color="000000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2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7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4" w:space="0" w:color="D3D3D3"/>
            </w:tcBorders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spacing w:after="0" w:line="240" w:lineRule="auto"/>
        <w:jc w:val="left"/>
        <w:rPr>
          <w:rFonts w:ascii="Times New Roman"/>
          <w:sz w:val="18"/>
        </w:rPr>
        <w:sectPr>
          <w:pgSz w:w="16840" w:h="11910" w:orient="landscape"/>
          <w:pgMar w:top="460" w:bottom="280" w:left="1300" w:right="24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before="52"/>
        <w:ind w:left="118" w:right="0" w:firstLine="0"/>
        <w:jc w:val="left"/>
        <w:rPr>
          <w:i/>
          <w:sz w:val="24"/>
        </w:rPr>
      </w:pPr>
      <w:r>
        <w:rPr>
          <w:i/>
          <w:sz w:val="24"/>
        </w:rPr>
        <w:t>Short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Biography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Note: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10"/>
        <w:rPr>
          <w:i/>
          <w:sz w:val="27"/>
        </w:rPr>
      </w:pPr>
    </w:p>
    <w:p>
      <w:pPr>
        <w:pStyle w:val="BodyText"/>
        <w:ind w:left="118"/>
      </w:pPr>
      <w:r>
        <w:rPr/>
        <w:t>Andreia</w:t>
      </w:r>
      <w:r>
        <w:rPr>
          <w:spacing w:val="-1"/>
        </w:rPr>
        <w:t> </w:t>
      </w:r>
      <w:r>
        <w:rPr/>
        <w:t>Ascenso</w:t>
      </w:r>
    </w:p>
    <w:p>
      <w:pPr>
        <w:spacing w:before="181"/>
        <w:ind w:left="118" w:right="0" w:firstLine="0"/>
        <w:jc w:val="left"/>
        <w:rPr>
          <w:sz w:val="22"/>
        </w:rPr>
      </w:pPr>
      <w:r>
        <w:rPr>
          <w:b/>
          <w:sz w:val="22"/>
        </w:rPr>
        <w:t>Knowledge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field</w:t>
      </w:r>
      <w:r>
        <w:rPr>
          <w:sz w:val="22"/>
        </w:rPr>
        <w:t>:</w:t>
      </w:r>
      <w:r>
        <w:rPr>
          <w:spacing w:val="-3"/>
          <w:sz w:val="22"/>
        </w:rPr>
        <w:t> </w:t>
      </w:r>
      <w:r>
        <w:rPr>
          <w:sz w:val="22"/>
        </w:rPr>
        <w:t>Medical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Sciences</w:t>
      </w:r>
    </w:p>
    <w:p>
      <w:pPr>
        <w:pStyle w:val="BodyText"/>
        <w:spacing w:before="180"/>
        <w:ind w:left="118"/>
      </w:pPr>
      <w:r>
        <w:rPr>
          <w:b/>
        </w:rPr>
        <w:t>PhD:</w:t>
      </w:r>
      <w:r>
        <w:rPr>
          <w:b/>
          <w:spacing w:val="-4"/>
        </w:rPr>
        <w:t> </w:t>
      </w:r>
      <w:r>
        <w:rPr/>
        <w:t>Pharmaceutical</w:t>
      </w:r>
      <w:r>
        <w:rPr>
          <w:spacing w:val="-2"/>
        </w:rPr>
        <w:t> </w:t>
      </w:r>
      <w:r>
        <w:rPr/>
        <w:t>Technology</w:t>
      </w:r>
      <w:r>
        <w:rPr>
          <w:spacing w:val="-4"/>
        </w:rPr>
        <w:t> </w:t>
      </w:r>
      <w:r>
        <w:rPr/>
        <w:t>(2013/07/11)</w:t>
      </w:r>
    </w:p>
    <w:p>
      <w:pPr>
        <w:pStyle w:val="BodyText"/>
        <w:spacing w:line="400" w:lineRule="auto" w:before="183"/>
        <w:ind w:left="2110" w:right="1782" w:hanging="1993"/>
      </w:pPr>
      <w:r>
        <w:rPr>
          <w:b/>
        </w:rPr>
        <w:t>Carrier(s) experience</w:t>
      </w:r>
      <w:r>
        <w:rPr/>
        <w:t>: Assistant Professor and Researcher at the Faculty of Pharmacy, University of Lisbon (since 2013/09/01)</w:t>
      </w:r>
      <w:r>
        <w:rPr>
          <w:spacing w:val="-47"/>
        </w:rPr>
        <w:t> </w:t>
      </w:r>
      <w:r>
        <w:rPr/>
        <w:t>Inspection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Pharmacovigilance functions</w:t>
      </w:r>
      <w:r>
        <w:rPr>
          <w:spacing w:val="2"/>
        </w:rPr>
        <w:t> </w:t>
      </w:r>
      <w:r>
        <w:rPr/>
        <w:t>at</w:t>
      </w:r>
      <w:r>
        <w:rPr>
          <w:spacing w:val="-1"/>
        </w:rPr>
        <w:t> </w:t>
      </w:r>
      <w:r>
        <w:rPr/>
        <w:t>INFARMED, I.P</w:t>
      </w:r>
      <w:r>
        <w:rPr>
          <w:spacing w:val="1"/>
        </w:rPr>
        <w:t> </w:t>
      </w:r>
      <w:r>
        <w:rPr/>
        <w:t>(since</w:t>
      </w:r>
      <w:r>
        <w:rPr>
          <w:spacing w:val="-3"/>
        </w:rPr>
        <w:t> </w:t>
      </w:r>
      <w:r>
        <w:rPr/>
        <w:t>2022)</w:t>
      </w:r>
    </w:p>
    <w:p>
      <w:pPr>
        <w:spacing w:before="3"/>
        <w:ind w:left="118" w:right="0" w:firstLine="0"/>
        <w:jc w:val="left"/>
        <w:rPr>
          <w:sz w:val="22"/>
        </w:rPr>
      </w:pPr>
      <w:r>
        <w:rPr>
          <w:b/>
          <w:sz w:val="22"/>
        </w:rPr>
        <w:t>Link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full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CV:</w:t>
      </w:r>
      <w:r>
        <w:rPr>
          <w:b/>
          <w:spacing w:val="-4"/>
          <w:sz w:val="22"/>
        </w:rPr>
        <w:t> </w:t>
      </w:r>
      <w:r>
        <w:rPr>
          <w:sz w:val="22"/>
        </w:rPr>
        <w:t>https://</w:t>
      </w:r>
      <w:hyperlink r:id="rId7">
        <w:r>
          <w:rPr>
            <w:sz w:val="22"/>
          </w:rPr>
          <w:t>www.cienciavitae.pt/portal/en/761B-404D-2C83</w:t>
        </w:r>
      </w:hyperlink>
    </w:p>
    <w:p>
      <w:pPr>
        <w:spacing w:after="0"/>
        <w:jc w:val="left"/>
        <w:rPr>
          <w:sz w:val="22"/>
        </w:rPr>
        <w:sectPr>
          <w:pgSz w:w="16840" w:h="11910" w:orient="landscape"/>
          <w:pgMar w:top="1100" w:bottom="280" w:left="1300" w:right="2420"/>
        </w:sectPr>
      </w:pP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pgSz w:w="16840" w:h="11910" w:orient="landscape"/>
          <w:pgMar w:top="1100" w:bottom="280" w:left="1300" w:right="2420"/>
        </w:sectPr>
      </w:pPr>
    </w:p>
    <w:p>
      <w:pPr>
        <w:pStyle w:val="BodyText"/>
        <w:spacing w:before="4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87238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7696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000" w:h="16960"/>
      <w:pgMar w:top="16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85" w:hanging="284"/>
        <w:jc w:val="left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7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23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7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0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9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7"/>
      <w:ind w:left="460" w:right="616"/>
      <w:jc w:val="center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5" w:right="254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" w:line="245" w:lineRule="exact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ema.europa.eu/en/human-regulatory/research-development/pharmacovigilance/eudravigilance" TargetMode="External"/><Relationship Id="rId6" Type="http://schemas.openxmlformats.org/officeDocument/2006/relationships/hyperlink" Target="http://www.ema.europa.eu/en/human-regulatory/research-" TargetMode="External"/><Relationship Id="rId7" Type="http://schemas.openxmlformats.org/officeDocument/2006/relationships/hyperlink" Target="http://www.cienciavitae.pt/portal/en/761B-404D-2C83" TargetMode="External"/><Relationship Id="rId8" Type="http://schemas.openxmlformats.org/officeDocument/2006/relationships/image" Target="media/image1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2023-06-07T13:01:29Z</dcterms:created>
  <dcterms:modified xsi:type="dcterms:W3CDTF">2023-06-07T13:01:29Z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2023-06-07T00:00:00Z</vt:filetime>
  </property>
</Properties>
</file>