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4E1B7" w14:textId="77777777" w:rsidR="00004120" w:rsidRPr="00004120" w:rsidRDefault="00004120" w:rsidP="00004120">
      <w:pPr>
        <w:pStyle w:val="MDPI17abstract"/>
        <w:ind w:left="720" w:hanging="90"/>
        <w:rPr>
          <w:rFonts w:asciiTheme="majorBidi" w:hAnsiTheme="majorBidi" w:cstheme="majorBidi"/>
          <w:b/>
          <w:bCs/>
          <w:sz w:val="24"/>
          <w:szCs w:val="24"/>
        </w:rPr>
      </w:pPr>
      <w:r>
        <w:rPr>
          <w:rFonts w:asciiTheme="majorBidi" w:hAnsiTheme="majorBidi" w:cstheme="majorBidi"/>
          <w:b/>
          <w:bCs/>
          <w:sz w:val="24"/>
          <w:szCs w:val="24"/>
        </w:rPr>
        <w:t xml:space="preserve">Title: </w:t>
      </w:r>
      <w:r w:rsidRPr="00004120">
        <w:rPr>
          <w:rFonts w:asciiTheme="majorBidi" w:hAnsiTheme="majorBidi" w:cstheme="majorBidi"/>
          <w:b/>
          <w:bCs/>
          <w:sz w:val="24"/>
          <w:szCs w:val="24"/>
        </w:rPr>
        <w:t xml:space="preserve">Neuropilin-1 Knockout and Rescue Confirms Its Role to </w:t>
      </w:r>
    </w:p>
    <w:p w14:paraId="4423E700" w14:textId="77777777" w:rsidR="00004120" w:rsidRDefault="00004120" w:rsidP="00004120">
      <w:pPr>
        <w:pStyle w:val="MDPI17abstract"/>
        <w:ind w:left="720" w:hanging="90"/>
        <w:rPr>
          <w:rFonts w:asciiTheme="majorBidi" w:hAnsiTheme="majorBidi" w:cstheme="majorBidi"/>
          <w:b/>
          <w:bCs/>
          <w:sz w:val="24"/>
          <w:szCs w:val="24"/>
        </w:rPr>
      </w:pPr>
      <w:r w:rsidRPr="00004120">
        <w:rPr>
          <w:rFonts w:asciiTheme="majorBidi" w:hAnsiTheme="majorBidi" w:cstheme="majorBidi"/>
          <w:b/>
          <w:bCs/>
          <w:sz w:val="24"/>
          <w:szCs w:val="24"/>
        </w:rPr>
        <w:t>Promote Metastasis in MDA-MB-231 Breast Cancer Cells</w:t>
      </w:r>
    </w:p>
    <w:p w14:paraId="3061B1BC" w14:textId="77777777" w:rsidR="00004120" w:rsidRDefault="00004120" w:rsidP="00004120">
      <w:pPr>
        <w:pStyle w:val="MDPI17abstract"/>
        <w:ind w:left="0"/>
        <w:rPr>
          <w:rFonts w:asciiTheme="majorBidi" w:hAnsiTheme="majorBidi" w:cstheme="majorBidi"/>
          <w:b/>
          <w:bCs/>
          <w:sz w:val="24"/>
          <w:szCs w:val="24"/>
        </w:rPr>
      </w:pPr>
      <w:r w:rsidRPr="00004120">
        <w:rPr>
          <w:rFonts w:asciiTheme="majorBidi" w:hAnsiTheme="majorBidi" w:cstheme="majorBidi"/>
          <w:b/>
          <w:bCs/>
          <w:sz w:val="24"/>
          <w:szCs w:val="24"/>
        </w:rPr>
        <w:t>Abstract</w:t>
      </w:r>
      <w:bookmarkStart w:id="0" w:name="_Hlk48823016"/>
      <w:r w:rsidRPr="00004120">
        <w:rPr>
          <w:rFonts w:asciiTheme="majorBidi" w:hAnsiTheme="majorBidi" w:cstheme="majorBidi"/>
          <w:b/>
          <w:bCs/>
          <w:sz w:val="24"/>
          <w:szCs w:val="24"/>
        </w:rPr>
        <w:t>:</w:t>
      </w:r>
    </w:p>
    <w:p w14:paraId="2EEC3EC2" w14:textId="77777777" w:rsidR="00004120" w:rsidRPr="00004120" w:rsidRDefault="00004120" w:rsidP="00004120">
      <w:pPr>
        <w:pStyle w:val="MDPI17abstract"/>
        <w:ind w:left="0"/>
        <w:rPr>
          <w:rFonts w:asciiTheme="majorBidi" w:hAnsiTheme="majorBidi" w:cstheme="majorBidi"/>
          <w:b/>
          <w:bCs/>
          <w:sz w:val="24"/>
          <w:szCs w:val="24"/>
        </w:rPr>
      </w:pPr>
      <w:r w:rsidRPr="00004120">
        <w:rPr>
          <w:rFonts w:asciiTheme="majorBidi" w:hAnsiTheme="majorBidi" w:cstheme="majorBidi"/>
          <w:sz w:val="24"/>
          <w:szCs w:val="24"/>
        </w:rPr>
        <w:t>Breast cancer (BC) metastasis remains a leading cause of female mortality. Neuropilin-1 (NRP-1) is a glycoprotein receptor that plays ligand-dependent roles in BC. Clinical studies indicate its correlation with metastatic disease; however, its functional role in BC metastasis remains uncertain.</w:t>
      </w:r>
      <w:r w:rsidRPr="00004120">
        <w:rPr>
          <w:rFonts w:asciiTheme="majorBidi" w:hAnsiTheme="majorBidi" w:cstheme="majorBidi"/>
          <w:b/>
          <w:bCs/>
          <w:sz w:val="24"/>
          <w:szCs w:val="24"/>
        </w:rPr>
        <w:t xml:space="preserve"> </w:t>
      </w:r>
      <w:r w:rsidRPr="00004120">
        <w:rPr>
          <w:rFonts w:asciiTheme="majorBidi" w:hAnsiTheme="majorBidi" w:cstheme="majorBidi"/>
          <w:sz w:val="24"/>
          <w:szCs w:val="24"/>
        </w:rPr>
        <w:t xml:space="preserve">CRISPR-Cas9 was used to knockout the </w:t>
      </w:r>
      <w:r w:rsidRPr="00004120">
        <w:rPr>
          <w:rFonts w:asciiTheme="majorBidi" w:hAnsiTheme="majorBidi" w:cstheme="majorBidi"/>
          <w:i/>
          <w:iCs/>
          <w:sz w:val="24"/>
          <w:szCs w:val="24"/>
        </w:rPr>
        <w:t>NRP-1</w:t>
      </w:r>
      <w:r w:rsidRPr="00004120">
        <w:rPr>
          <w:rFonts w:asciiTheme="majorBidi" w:hAnsiTheme="majorBidi" w:cstheme="majorBidi"/>
          <w:sz w:val="24"/>
          <w:szCs w:val="24"/>
        </w:rPr>
        <w:t xml:space="preserve"> gene in MDA-MB-231 BC cells, and the effects on metastasis were determined using an orthotopic mouse engraftment model. </w:t>
      </w:r>
      <w:r w:rsidRPr="00004120">
        <w:rPr>
          <w:rFonts w:asciiTheme="majorBidi" w:hAnsiTheme="majorBidi" w:cstheme="majorBidi"/>
          <w:i/>
          <w:iCs/>
          <w:sz w:val="24"/>
          <w:szCs w:val="24"/>
        </w:rPr>
        <w:t>NRP-1</w:t>
      </w:r>
      <w:r w:rsidRPr="00004120">
        <w:rPr>
          <w:rFonts w:asciiTheme="majorBidi" w:hAnsiTheme="majorBidi" w:cstheme="majorBidi"/>
          <w:sz w:val="24"/>
          <w:szCs w:val="24"/>
        </w:rPr>
        <w:t xml:space="preserve"> expression in knockout cells was rescued using a recombinant cDNA with a silent mutation in the sgRNA target-adjacent PAM sequence. Differentially expressed genes between </w:t>
      </w:r>
      <w:r w:rsidRPr="00004120">
        <w:rPr>
          <w:rFonts w:asciiTheme="majorBidi" w:hAnsiTheme="majorBidi" w:cstheme="majorBidi"/>
          <w:i/>
          <w:iCs/>
          <w:sz w:val="24"/>
          <w:szCs w:val="24"/>
        </w:rPr>
        <w:t>NRP-1</w:t>
      </w:r>
      <w:r w:rsidRPr="00004120">
        <w:rPr>
          <w:rFonts w:asciiTheme="majorBidi" w:hAnsiTheme="majorBidi" w:cstheme="majorBidi"/>
          <w:sz w:val="24"/>
          <w:szCs w:val="24"/>
        </w:rPr>
        <w:t xml:space="preserve"> knockout and control cells were determined using whole-transcriptome sequencing and validated using real-time PCR.</w:t>
      </w:r>
      <w:r w:rsidRPr="00004120">
        <w:rPr>
          <w:rFonts w:asciiTheme="majorBidi" w:hAnsiTheme="majorBidi" w:cstheme="majorBidi"/>
          <w:b/>
          <w:bCs/>
          <w:sz w:val="24"/>
          <w:szCs w:val="24"/>
        </w:rPr>
        <w:t xml:space="preserve"> </w:t>
      </w:r>
      <w:r w:rsidRPr="00004120">
        <w:rPr>
          <w:rFonts w:asciiTheme="majorBidi" w:hAnsiTheme="majorBidi" w:cstheme="majorBidi"/>
          <w:i/>
          <w:iCs/>
          <w:sz w:val="24"/>
          <w:szCs w:val="24"/>
        </w:rPr>
        <w:t>NRP-1KO</w:t>
      </w:r>
      <w:r w:rsidRPr="00004120">
        <w:rPr>
          <w:rFonts w:asciiTheme="majorBidi" w:hAnsiTheme="majorBidi" w:cstheme="majorBidi"/>
          <w:sz w:val="24"/>
          <w:szCs w:val="24"/>
        </w:rPr>
        <w:t xml:space="preserve"> cells showed a pronounced reduction in the metastasis to the lungs. KEGG pathway analysis of the transcriptome data revealed that PI3K and ECM receptor interactions were among the top altered pathways in the NRP-1KO cells. In addition, reduction in metastasis enhancers proteins, Integrin-β3 and Tenascin-C, and genes </w:t>
      </w:r>
      <w:r w:rsidRPr="00004120">
        <w:rPr>
          <w:rFonts w:asciiTheme="majorBidi" w:hAnsiTheme="majorBidi" w:cstheme="majorBidi"/>
          <w:i/>
          <w:iCs/>
          <w:sz w:val="24"/>
          <w:szCs w:val="24"/>
        </w:rPr>
        <w:t xml:space="preserve">CCL20 </w:t>
      </w:r>
      <w:r w:rsidRPr="00004120">
        <w:rPr>
          <w:rFonts w:asciiTheme="majorBidi" w:hAnsiTheme="majorBidi" w:cstheme="majorBidi"/>
          <w:sz w:val="24"/>
          <w:szCs w:val="24"/>
        </w:rPr>
        <w:t>and</w:t>
      </w:r>
      <w:r w:rsidRPr="00004120">
        <w:rPr>
          <w:rFonts w:asciiTheme="majorBidi" w:hAnsiTheme="majorBidi" w:cstheme="majorBidi"/>
          <w:i/>
          <w:iCs/>
          <w:sz w:val="24"/>
          <w:szCs w:val="24"/>
        </w:rPr>
        <w:t xml:space="preserve"> FN1</w:t>
      </w:r>
      <w:r w:rsidRPr="00004120">
        <w:rPr>
          <w:rFonts w:asciiTheme="majorBidi" w:hAnsiTheme="majorBidi" w:cstheme="majorBidi"/>
          <w:sz w:val="24"/>
          <w:szCs w:val="24"/>
        </w:rPr>
        <w:t xml:space="preserve"> and upregulation of </w:t>
      </w:r>
      <w:bookmarkStart w:id="1" w:name="_Hlk129194834"/>
      <w:r w:rsidRPr="00004120">
        <w:rPr>
          <w:rFonts w:asciiTheme="majorBidi" w:hAnsiTheme="majorBidi" w:cstheme="majorBidi"/>
          <w:sz w:val="24"/>
          <w:szCs w:val="24"/>
        </w:rPr>
        <w:t>metastasis</w:t>
      </w:r>
      <w:bookmarkEnd w:id="1"/>
      <w:r w:rsidRPr="00004120">
        <w:rPr>
          <w:rFonts w:asciiTheme="majorBidi" w:hAnsiTheme="majorBidi" w:cstheme="majorBidi"/>
          <w:sz w:val="24"/>
          <w:szCs w:val="24"/>
        </w:rPr>
        <w:t xml:space="preserve"> suppressor genes,</w:t>
      </w:r>
      <w:r w:rsidRPr="00004120">
        <w:rPr>
          <w:rFonts w:asciiTheme="majorBidi" w:hAnsiTheme="majorBidi" w:cstheme="majorBidi"/>
          <w:i/>
          <w:iCs/>
          <w:sz w:val="24"/>
          <w:szCs w:val="24"/>
        </w:rPr>
        <w:t xml:space="preserve"> ACVRL </w:t>
      </w:r>
      <w:r w:rsidRPr="00004120">
        <w:rPr>
          <w:rFonts w:asciiTheme="majorBidi" w:hAnsiTheme="majorBidi" w:cstheme="majorBidi"/>
          <w:sz w:val="24"/>
          <w:szCs w:val="24"/>
        </w:rPr>
        <w:t>and</w:t>
      </w:r>
      <w:r w:rsidRPr="00004120">
        <w:rPr>
          <w:rFonts w:asciiTheme="majorBidi" w:hAnsiTheme="majorBidi" w:cstheme="majorBidi"/>
          <w:i/>
          <w:iCs/>
          <w:sz w:val="24"/>
          <w:szCs w:val="24"/>
        </w:rPr>
        <w:t xml:space="preserve"> GPX3</w:t>
      </w:r>
      <w:r w:rsidRPr="00004120">
        <w:rPr>
          <w:rFonts w:asciiTheme="majorBidi" w:hAnsiTheme="majorBidi" w:cstheme="majorBidi"/>
          <w:sz w:val="24"/>
          <w:szCs w:val="24"/>
        </w:rPr>
        <w:t xml:space="preserve"> in </w:t>
      </w:r>
      <w:r w:rsidRPr="00004120">
        <w:rPr>
          <w:rFonts w:asciiTheme="majorBidi" w:hAnsiTheme="majorBidi" w:cstheme="majorBidi"/>
          <w:i/>
          <w:iCs/>
          <w:sz w:val="24"/>
          <w:szCs w:val="24"/>
        </w:rPr>
        <w:t>NRP-1</w:t>
      </w:r>
      <w:r w:rsidRPr="00004120">
        <w:rPr>
          <w:rFonts w:asciiTheme="majorBidi" w:hAnsiTheme="majorBidi" w:cstheme="majorBidi"/>
          <w:sz w:val="24"/>
          <w:szCs w:val="24"/>
        </w:rPr>
        <w:t>KO were detected.</w:t>
      </w:r>
      <w:r w:rsidRPr="00004120">
        <w:rPr>
          <w:rFonts w:asciiTheme="majorBidi" w:hAnsiTheme="majorBidi" w:cstheme="majorBidi"/>
          <w:b/>
          <w:bCs/>
          <w:sz w:val="24"/>
          <w:szCs w:val="24"/>
        </w:rPr>
        <w:t xml:space="preserve"> </w:t>
      </w:r>
      <w:r w:rsidRPr="00004120">
        <w:rPr>
          <w:rFonts w:asciiTheme="majorBidi" w:hAnsiTheme="majorBidi" w:cstheme="majorBidi"/>
          <w:sz w:val="24"/>
          <w:szCs w:val="24"/>
        </w:rPr>
        <w:t>These findings provide evidence for a functional role for NRP-1 in BC metastasis, supporting further exploration of NRP-1 and the identified genes as targets in treating metastatic BC.</w:t>
      </w:r>
      <w:bookmarkEnd w:id="0"/>
    </w:p>
    <w:p w14:paraId="38305A90" w14:textId="77777777" w:rsidR="006E4270" w:rsidRDefault="006E4270" w:rsidP="00004120">
      <w:pPr>
        <w:jc w:val="both"/>
        <w:rPr>
          <w:rFonts w:asciiTheme="majorBidi" w:hAnsiTheme="majorBidi" w:cstheme="majorBidi"/>
          <w:sz w:val="24"/>
          <w:szCs w:val="24"/>
        </w:rPr>
      </w:pPr>
    </w:p>
    <w:p w14:paraId="2187DA1D" w14:textId="2AFD42A5" w:rsidR="00C961E5" w:rsidRDefault="00C961E5" w:rsidP="00004120">
      <w:pPr>
        <w:jc w:val="both"/>
        <w:rPr>
          <w:rFonts w:asciiTheme="majorBidi" w:hAnsiTheme="majorBidi" w:cstheme="majorBidi"/>
          <w:sz w:val="24"/>
          <w:szCs w:val="24"/>
        </w:rPr>
      </w:pPr>
      <w:r>
        <w:rPr>
          <w:rFonts w:asciiTheme="majorBidi" w:hAnsiTheme="majorBidi" w:cstheme="majorBidi"/>
          <w:sz w:val="24"/>
          <w:szCs w:val="24"/>
        </w:rPr>
        <w:t>Biography:</w:t>
      </w:r>
    </w:p>
    <w:p w14:paraId="01B2204D" w14:textId="65A1262B" w:rsidR="00C961E5" w:rsidRPr="00004120" w:rsidRDefault="00C961E5" w:rsidP="00004120">
      <w:pPr>
        <w:jc w:val="both"/>
        <w:rPr>
          <w:rFonts w:asciiTheme="majorBidi" w:hAnsiTheme="majorBidi" w:cstheme="majorBidi"/>
          <w:sz w:val="24"/>
          <w:szCs w:val="24"/>
        </w:rPr>
      </w:pPr>
      <w:r w:rsidRPr="00C961E5">
        <w:rPr>
          <w:rFonts w:asciiTheme="majorBidi" w:hAnsiTheme="majorBidi" w:cstheme="majorBidi"/>
          <w:sz w:val="24"/>
          <w:szCs w:val="24"/>
        </w:rPr>
        <w:t>Dr. Adham: Graduated from the University of Leon, Spain, in 2002 with a Ph.D. degree in Biological Sciences/ molecular biotechnology. Dr. Adham worked at the Department of Biology, University of Waterloo, Canada as a postdoctoral fellow on a project funded by Genome Canada from 2003-2006. From 2006-2009 Dr. Adham joined the Department of Biomedical Sciences at the University of Guelph, Canada as a Postdoctoral fellow and held the Associate Scientist’s title in Cancer Research. In 2010, Dr. Adham joined the Department of Biology, College of Science, SQU, Oman. Dr. Adham was promoted to Associate Professor in May of 2019. Her research is focused on Cancer Molecular Biology to investigate the molecular basis of drug resistance in breast cancer. Dr. Adham has published her research in several highly ranked peer-reviewed international journals and was awarded research funds from SQU, Oman’s research council (TRC), and the international Terri Fox foundation fund. Finally, Dr. Adham built her cancer research laboratory and supervised Ph.D. and MSc. students at the Department of Biology (SQU).</w:t>
      </w:r>
    </w:p>
    <w:sectPr w:rsidR="00C961E5" w:rsidRPr="00004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120"/>
    <w:rsid w:val="00004120"/>
    <w:rsid w:val="006E4270"/>
    <w:rsid w:val="00C961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1FC23"/>
  <w15:chartTrackingRefBased/>
  <w15:docId w15:val="{C994A28B-7A3B-4987-BB3F-79079BF43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7abstract">
    <w:name w:val="MDPI_1.7_abstract"/>
    <w:next w:val="Normal"/>
    <w:qFormat/>
    <w:rsid w:val="00004120"/>
    <w:pPr>
      <w:adjustRightInd w:val="0"/>
      <w:snapToGrid w:val="0"/>
      <w:spacing w:before="240" w:after="0" w:line="260" w:lineRule="atLeast"/>
      <w:ind w:left="2608"/>
      <w:jc w:val="both"/>
    </w:pPr>
    <w:rPr>
      <w:rFonts w:ascii="Palatino Linotype" w:eastAsia="Times New Roman" w:hAnsi="Palatino Linotype" w:cs="Times New Roman"/>
      <w:color w:val="000000"/>
      <w:kern w:val="2"/>
      <w:sz w:val="18"/>
      <w:lang w:eastAsia="de-DE" w:bidi="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Sirin A. Yaeesh</dc:creator>
  <cp:keywords/>
  <dc:description/>
  <cp:lastModifiedBy>Asia Pacific Wcgynocology</cp:lastModifiedBy>
  <cp:revision>2</cp:revision>
  <dcterms:created xsi:type="dcterms:W3CDTF">2023-05-31T13:07:00Z</dcterms:created>
  <dcterms:modified xsi:type="dcterms:W3CDTF">2023-06-06T12:16:00Z</dcterms:modified>
</cp:coreProperties>
</file>