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146" w:lineRule="auto"/>
      </w:pPr>
      <w:r>
        <w:rPr/>
        <w:t>Viscosupplementation in the</w:t>
      </w:r>
      <w:r>
        <w:rPr>
          <w:spacing w:val="1"/>
        </w:rPr>
        <w:t> </w:t>
      </w:r>
      <w:r>
        <w:rPr/>
        <w:t>upper and lower compartments of</w:t>
      </w:r>
      <w:r>
        <w:rPr>
          <w:spacing w:val="-75"/>
        </w:rPr>
        <w:t> </w:t>
      </w:r>
      <w:r>
        <w:rPr/>
        <w:t>the temporomandibular joint:</w:t>
      </w:r>
      <w:r>
        <w:rPr>
          <w:spacing w:val="1"/>
        </w:rPr>
        <w:t> </w:t>
      </w:r>
      <w:r>
        <w:rPr/>
        <w:t>control of temporomandibular</w:t>
      </w:r>
      <w:r>
        <w:rPr>
          <w:spacing w:val="1"/>
        </w:rPr>
        <w:t> </w:t>
      </w:r>
      <w:r>
        <w:rPr/>
        <w:t>Joint disfunction with</w:t>
      </w:r>
      <w:r>
        <w:rPr>
          <w:spacing w:val="1"/>
        </w:rPr>
        <w:t> </w:t>
      </w:r>
      <w:r>
        <w:rPr/>
        <w:t>degenerative</w:t>
      </w:r>
      <w:r>
        <w:rPr>
          <w:spacing w:val="-1"/>
        </w:rPr>
        <w:t> </w:t>
      </w:r>
      <w:r>
        <w:rPr/>
        <w:t>disease</w:t>
      </w:r>
    </w:p>
    <w:p>
      <w:pPr>
        <w:spacing w:before="76"/>
        <w:ind w:left="220" w:right="0" w:firstLine="0"/>
        <w:jc w:val="left"/>
        <w:rPr>
          <w:sz w:val="18"/>
        </w:rPr>
      </w:pPr>
      <w:r>
        <w:rPr>
          <w:sz w:val="18"/>
        </w:rPr>
        <w:t>Susana</w:t>
      </w:r>
      <w:r>
        <w:rPr>
          <w:spacing w:val="-1"/>
          <w:sz w:val="18"/>
        </w:rPr>
        <w:t> </w:t>
      </w:r>
      <w:r>
        <w:rPr>
          <w:sz w:val="18"/>
        </w:rPr>
        <w:t>Perdigoto,</w:t>
      </w:r>
      <w:r>
        <w:rPr>
          <w:spacing w:val="-3"/>
          <w:sz w:val="18"/>
        </w:rPr>
        <w:t> </w:t>
      </w:r>
      <w:r>
        <w:rPr>
          <w:sz w:val="18"/>
        </w:rPr>
        <w:t>MSD</w:t>
      </w:r>
    </w:p>
    <w:p>
      <w:pPr>
        <w:spacing w:line="228" w:lineRule="auto" w:before="73"/>
        <w:ind w:left="220" w:right="6127" w:firstLine="0"/>
        <w:jc w:val="left"/>
        <w:rPr>
          <w:sz w:val="18"/>
        </w:rPr>
      </w:pPr>
      <w:r>
        <w:rPr>
          <w:sz w:val="18"/>
        </w:rPr>
        <w:t>Invited speaker in Postgraduate Specialization in</w:t>
      </w:r>
      <w:r>
        <w:rPr>
          <w:spacing w:val="1"/>
          <w:sz w:val="18"/>
        </w:rPr>
        <w:t> </w:t>
      </w:r>
      <w:r>
        <w:rPr>
          <w:sz w:val="18"/>
        </w:rPr>
        <w:t>Orofacial pain, Oral Medicine, and Dental Sleep Medicine</w:t>
      </w:r>
      <w:r>
        <w:rPr>
          <w:spacing w:val="-47"/>
          <w:sz w:val="18"/>
        </w:rPr>
        <w:t> </w:t>
      </w:r>
      <w:r>
        <w:rPr>
          <w:sz w:val="18"/>
        </w:rPr>
        <w:t>in European center of dentistry specialty - Portugal and</w:t>
      </w:r>
      <w:r>
        <w:rPr>
          <w:spacing w:val="1"/>
          <w:sz w:val="18"/>
        </w:rPr>
        <w:t> </w:t>
      </w:r>
      <w:r>
        <w:rPr>
          <w:sz w:val="18"/>
        </w:rPr>
        <w:t>European</w:t>
      </w:r>
      <w:r>
        <w:rPr>
          <w:spacing w:val="1"/>
          <w:sz w:val="18"/>
        </w:rPr>
        <w:t> </w:t>
      </w:r>
      <w:r>
        <w:rPr>
          <w:sz w:val="18"/>
        </w:rPr>
        <w:t>University</w:t>
      </w:r>
      <w:r>
        <w:rPr>
          <w:spacing w:val="2"/>
          <w:sz w:val="18"/>
        </w:rPr>
        <w:t> </w:t>
      </w:r>
      <w:r>
        <w:rPr>
          <w:sz w:val="18"/>
        </w:rPr>
        <w:t>- Spain</w:t>
      </w:r>
    </w:p>
    <w:p>
      <w:pPr>
        <w:pStyle w:val="BodyText"/>
        <w:spacing w:before="3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1920" w:h="16850"/>
          <w:pgMar w:top="900" w:bottom="280" w:left="500" w:right="480"/>
        </w:sectPr>
      </w:pPr>
    </w:p>
    <w:p>
      <w:pPr>
        <w:spacing w:before="148"/>
        <w:ind w:left="22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Abstract</w:t>
      </w:r>
    </w:p>
    <w:p>
      <w:pPr>
        <w:pStyle w:val="BodyText"/>
        <w:spacing w:line="360" w:lineRule="auto" w:before="92"/>
        <w:ind w:left="220" w:right="4"/>
        <w:jc w:val="both"/>
      </w:pPr>
      <w:r>
        <w:rPr/>
        <w:t>Statement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Problem:</w:t>
      </w:r>
      <w:r>
        <w:rPr>
          <w:spacing w:val="1"/>
        </w:rPr>
        <w:t> </w:t>
      </w:r>
      <w:r>
        <w:rPr/>
        <w:t>Temporomandibular</w:t>
      </w:r>
      <w:r>
        <w:rPr>
          <w:spacing w:val="1"/>
        </w:rPr>
        <w:t> </w:t>
      </w:r>
      <w:r>
        <w:rPr/>
        <w:t>joint</w:t>
      </w:r>
      <w:r>
        <w:rPr>
          <w:spacing w:val="1"/>
        </w:rPr>
        <w:t> </w:t>
      </w:r>
      <w:r>
        <w:rPr/>
        <w:t>disorder</w:t>
      </w:r>
      <w:r>
        <w:rPr>
          <w:spacing w:val="53"/>
        </w:rPr>
        <w:t> </w:t>
      </w:r>
      <w:r>
        <w:rPr/>
        <w:t>(TMD)</w:t>
      </w:r>
      <w:r>
        <w:rPr>
          <w:spacing w:val="55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52"/>
        </w:rPr>
        <w:t> </w:t>
      </w:r>
      <w:r>
        <w:rPr/>
        <w:t>widely</w:t>
      </w:r>
      <w:r>
        <w:rPr>
          <w:spacing w:val="54"/>
        </w:rPr>
        <w:t> </w:t>
      </w:r>
      <w:r>
        <w:rPr/>
        <w:t>researched</w:t>
      </w:r>
      <w:r>
        <w:rPr>
          <w:spacing w:val="55"/>
        </w:rPr>
        <w:t> </w:t>
      </w:r>
      <w:r>
        <w:rPr/>
        <w:t>disease</w:t>
      </w:r>
      <w:r>
        <w:rPr>
          <w:spacing w:val="52"/>
        </w:rPr>
        <w:t> </w:t>
      </w:r>
      <w:r>
        <w:rPr/>
        <w:t>in</w:t>
      </w:r>
      <w:r>
        <w:rPr>
          <w:spacing w:val="52"/>
        </w:rPr>
        <w:t> </w:t>
      </w:r>
      <w:r>
        <w:rPr/>
        <w:t>the</w:t>
      </w:r>
      <w:r>
        <w:rPr>
          <w:spacing w:val="-54"/>
        </w:rPr>
        <w:t> </w:t>
      </w:r>
      <w:r>
        <w:rPr/>
        <w:t>literature</w:t>
      </w:r>
      <w:r>
        <w:rPr>
          <w:spacing w:val="1"/>
        </w:rPr>
        <w:t> </w:t>
      </w:r>
      <w:r>
        <w:rPr/>
        <w:t>since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high</w:t>
      </w:r>
      <w:r>
        <w:rPr>
          <w:spacing w:val="1"/>
        </w:rPr>
        <w:t> </w:t>
      </w:r>
      <w:r>
        <w:rPr/>
        <w:t>prevalence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often</w:t>
      </w:r>
      <w:r>
        <w:rPr>
          <w:spacing w:val="-53"/>
        </w:rPr>
        <w:t> </w:t>
      </w:r>
      <w:r>
        <w:rPr/>
        <w:t>associated with chronic pain and limited function of the</w:t>
      </w:r>
      <w:r>
        <w:rPr>
          <w:spacing w:val="1"/>
        </w:rPr>
        <w:t> </w:t>
      </w:r>
      <w:r>
        <w:rPr/>
        <w:t>temporomandibular</w:t>
      </w:r>
      <w:r>
        <w:rPr>
          <w:spacing w:val="-2"/>
        </w:rPr>
        <w:t> </w:t>
      </w:r>
      <w:r>
        <w:rPr/>
        <w:t>joint</w:t>
      </w:r>
      <w:r>
        <w:rPr>
          <w:spacing w:val="-1"/>
        </w:rPr>
        <w:t> </w:t>
      </w:r>
      <w:r>
        <w:rPr/>
        <w:t>(TMJ</w:t>
      </w:r>
      <w:r>
        <w:rPr>
          <w:spacing w:val="3"/>
        </w:rPr>
        <w:t> </w:t>
      </w:r>
      <w:r>
        <w:rPr/>
        <w:t>(1).</w:t>
      </w:r>
    </w:p>
    <w:p>
      <w:pPr>
        <w:pStyle w:val="BodyText"/>
        <w:spacing w:line="360" w:lineRule="auto" w:before="90"/>
        <w:ind w:left="220" w:right="1"/>
        <w:jc w:val="both"/>
      </w:pPr>
      <w:r>
        <w:rPr/>
        <w:t>Osteoarthritis (OA) is considered a whole joint disease</w:t>
      </w:r>
      <w:r>
        <w:rPr>
          <w:spacing w:val="1"/>
        </w:rPr>
        <w:t> </w:t>
      </w:r>
      <w:r>
        <w:rPr/>
        <w:t>with deterioration and loss of the cartilage, changes in</w:t>
      </w:r>
      <w:r>
        <w:rPr>
          <w:spacing w:val="1"/>
        </w:rPr>
        <w:t> </w:t>
      </w:r>
      <w:r>
        <w:rPr/>
        <w:t>bone</w:t>
      </w:r>
      <w:r>
        <w:rPr>
          <w:spacing w:val="1"/>
        </w:rPr>
        <w:t> </w:t>
      </w:r>
      <w:r>
        <w:rPr/>
        <w:t>structures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subchondral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synovial</w:t>
      </w:r>
      <w:r>
        <w:rPr>
          <w:spacing w:val="1"/>
        </w:rPr>
        <w:t> </w:t>
      </w:r>
      <w:r>
        <w:rPr/>
        <w:t>inflammation(2) with reactive oxygen species formation</w:t>
      </w:r>
      <w:r>
        <w:rPr>
          <w:spacing w:val="1"/>
        </w:rPr>
        <w:t> </w:t>
      </w:r>
      <w:r>
        <w:rPr/>
        <w:t>producing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induction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neuropeptides</w:t>
      </w:r>
      <w:r>
        <w:rPr>
          <w:spacing w:val="1"/>
        </w:rPr>
        <w:t> </w:t>
      </w:r>
      <w:r>
        <w:rPr/>
        <w:t>and</w:t>
      </w:r>
      <w:r>
        <w:rPr>
          <w:spacing w:val="-54"/>
        </w:rPr>
        <w:t> </w:t>
      </w:r>
      <w:r>
        <w:rPr/>
        <w:t>inflammatory</w:t>
      </w:r>
      <w:r>
        <w:rPr>
          <w:spacing w:val="1"/>
        </w:rPr>
        <w:t> </w:t>
      </w:r>
      <w:r>
        <w:rPr/>
        <w:t>cytokines</w:t>
      </w:r>
      <w:r>
        <w:rPr>
          <w:spacing w:val="1"/>
        </w:rPr>
        <w:t> </w:t>
      </w:r>
      <w:r>
        <w:rPr/>
        <w:t>(3).</w:t>
      </w:r>
    </w:p>
    <w:p>
      <w:pPr>
        <w:pStyle w:val="BodyText"/>
        <w:spacing w:line="360" w:lineRule="auto" w:before="90"/>
        <w:ind w:left="220" w:right="1"/>
        <w:jc w:val="both"/>
      </w:pPr>
      <w:r>
        <w:rPr>
          <w:color w:val="202020"/>
        </w:rPr>
        <w:t>TMJ viscosupplementation (VS) is a minimally invasive</w:t>
      </w:r>
      <w:r>
        <w:rPr>
          <w:color w:val="202020"/>
          <w:spacing w:val="1"/>
        </w:rPr>
        <w:t> </w:t>
      </w:r>
      <w:r>
        <w:rPr>
          <w:color w:val="202020"/>
        </w:rPr>
        <w:t>procedure that consists of an intra-articular injection of</w:t>
      </w:r>
      <w:r>
        <w:rPr>
          <w:color w:val="202020"/>
          <w:spacing w:val="1"/>
        </w:rPr>
        <w:t> </w:t>
      </w:r>
      <w:r>
        <w:rPr>
          <w:color w:val="202020"/>
        </w:rPr>
        <w:t>sodium hyaluronate (HA) into the joint compartments. HA</w:t>
      </w:r>
      <w:r>
        <w:rPr>
          <w:color w:val="202020"/>
          <w:spacing w:val="1"/>
        </w:rPr>
        <w:t> </w:t>
      </w:r>
      <w:r>
        <w:rPr>
          <w:color w:val="202020"/>
        </w:rPr>
        <w:t>is an efficient therapy to promote articular homeostasis</w:t>
      </w:r>
      <w:r>
        <w:rPr>
          <w:color w:val="202020"/>
          <w:spacing w:val="1"/>
        </w:rPr>
        <w:t> </w:t>
      </w:r>
      <w:r>
        <w:rPr>
          <w:color w:val="202020"/>
        </w:rPr>
        <w:t>and</w:t>
      </w:r>
      <w:r>
        <w:rPr>
          <w:color w:val="202020"/>
          <w:spacing w:val="1"/>
        </w:rPr>
        <w:t> </w:t>
      </w:r>
      <w:r>
        <w:rPr>
          <w:color w:val="202020"/>
        </w:rPr>
        <w:t>analgesia</w:t>
      </w:r>
      <w:r>
        <w:rPr>
          <w:color w:val="202020"/>
          <w:spacing w:val="1"/>
        </w:rPr>
        <w:t> </w:t>
      </w:r>
      <w:r>
        <w:rPr>
          <w:color w:val="202020"/>
        </w:rPr>
        <w:t>by</w:t>
      </w:r>
      <w:r>
        <w:rPr>
          <w:color w:val="202020"/>
          <w:spacing w:val="1"/>
        </w:rPr>
        <w:t> </w:t>
      </w:r>
      <w:r>
        <w:rPr>
          <w:color w:val="202020"/>
        </w:rPr>
        <w:t>stimulating</w:t>
      </w:r>
      <w:r>
        <w:rPr>
          <w:color w:val="202020"/>
          <w:spacing w:val="1"/>
        </w:rPr>
        <w:t> </w:t>
      </w:r>
      <w:r>
        <w:rPr>
          <w:color w:val="202020"/>
        </w:rPr>
        <w:t>type</w:t>
      </w:r>
      <w:r>
        <w:rPr>
          <w:color w:val="202020"/>
          <w:spacing w:val="1"/>
        </w:rPr>
        <w:t> </w:t>
      </w:r>
      <w:r>
        <w:rPr>
          <w:color w:val="202020"/>
        </w:rPr>
        <w:t>B</w:t>
      </w:r>
      <w:r>
        <w:rPr>
          <w:color w:val="202020"/>
          <w:spacing w:val="1"/>
        </w:rPr>
        <w:t> </w:t>
      </w:r>
      <w:r>
        <w:rPr>
          <w:color w:val="202020"/>
        </w:rPr>
        <w:t>synoviocytes</w:t>
      </w:r>
      <w:r>
        <w:rPr>
          <w:color w:val="202020"/>
          <w:spacing w:val="1"/>
        </w:rPr>
        <w:t> </w:t>
      </w:r>
      <w:r>
        <w:rPr>
          <w:color w:val="202020"/>
        </w:rPr>
        <w:t>to</w:t>
      </w:r>
      <w:r>
        <w:rPr>
          <w:color w:val="202020"/>
          <w:spacing w:val="1"/>
        </w:rPr>
        <w:t> </w:t>
      </w:r>
      <w:r>
        <w:rPr>
          <w:color w:val="202020"/>
        </w:rPr>
        <w:t>produce additional synovial liquid, with improvements on</w:t>
      </w:r>
      <w:r>
        <w:rPr>
          <w:color w:val="202020"/>
          <w:spacing w:val="1"/>
        </w:rPr>
        <w:t> </w:t>
      </w:r>
      <w:r>
        <w:rPr>
          <w:color w:val="202020"/>
        </w:rPr>
        <w:t>the</w:t>
      </w:r>
      <w:r>
        <w:rPr>
          <w:color w:val="202020"/>
          <w:spacing w:val="1"/>
        </w:rPr>
        <w:t> </w:t>
      </w:r>
      <w:r>
        <w:rPr>
          <w:color w:val="202020"/>
        </w:rPr>
        <w:t>lubrication,</w:t>
      </w:r>
      <w:r>
        <w:rPr>
          <w:color w:val="202020"/>
          <w:spacing w:val="1"/>
        </w:rPr>
        <w:t> </w:t>
      </w:r>
      <w:r>
        <w:rPr>
          <w:color w:val="202020"/>
        </w:rPr>
        <w:t>rheological</w:t>
      </w:r>
      <w:r>
        <w:rPr>
          <w:color w:val="202020"/>
          <w:spacing w:val="1"/>
        </w:rPr>
        <w:t> </w:t>
      </w:r>
      <w:r>
        <w:rPr>
          <w:color w:val="202020"/>
        </w:rPr>
        <w:t>properties</w:t>
      </w:r>
      <w:r>
        <w:rPr>
          <w:color w:val="202020"/>
          <w:spacing w:val="1"/>
        </w:rPr>
        <w:t> </w:t>
      </w:r>
      <w:r>
        <w:rPr>
          <w:color w:val="202020"/>
        </w:rPr>
        <w:t>of</w:t>
      </w:r>
      <w:r>
        <w:rPr>
          <w:color w:val="202020"/>
          <w:spacing w:val="1"/>
        </w:rPr>
        <w:t> </w:t>
      </w:r>
      <w:r>
        <w:rPr>
          <w:color w:val="202020"/>
        </w:rPr>
        <w:t>the</w:t>
      </w:r>
      <w:r>
        <w:rPr>
          <w:color w:val="202020"/>
          <w:spacing w:val="1"/>
        </w:rPr>
        <w:t> </w:t>
      </w:r>
      <w:r>
        <w:rPr>
          <w:color w:val="202020"/>
        </w:rPr>
        <w:t>synovial</w:t>
      </w:r>
      <w:r>
        <w:rPr>
          <w:color w:val="202020"/>
          <w:spacing w:val="1"/>
        </w:rPr>
        <w:t> </w:t>
      </w:r>
      <w:r>
        <w:rPr>
          <w:color w:val="202020"/>
        </w:rPr>
        <w:t>liquid, absorption of loads, and stimulation of chondrocyte</w:t>
      </w:r>
      <w:r>
        <w:rPr>
          <w:color w:val="202020"/>
          <w:spacing w:val="-53"/>
        </w:rPr>
        <w:t> </w:t>
      </w:r>
      <w:r>
        <w:rPr>
          <w:color w:val="202020"/>
        </w:rPr>
        <w:t>proliferation in</w:t>
      </w:r>
      <w:r>
        <w:rPr>
          <w:color w:val="202020"/>
          <w:spacing w:val="2"/>
        </w:rPr>
        <w:t> </w:t>
      </w:r>
      <w:r>
        <w:rPr>
          <w:color w:val="202020"/>
        </w:rPr>
        <w:t>fibrocartilage(4).</w:t>
      </w:r>
    </w:p>
    <w:p>
      <w:pPr>
        <w:pStyle w:val="BodyText"/>
        <w:spacing w:line="360" w:lineRule="auto" w:before="90"/>
        <w:ind w:left="220"/>
        <w:jc w:val="both"/>
      </w:pPr>
      <w:r>
        <w:rPr>
          <w:color w:val="202020"/>
        </w:rPr>
        <w:t>Our group did a study to assess a VS protocol, with cone-</w:t>
      </w:r>
      <w:r>
        <w:rPr>
          <w:color w:val="202020"/>
          <w:spacing w:val="-53"/>
        </w:rPr>
        <w:t> </w:t>
      </w:r>
      <w:r>
        <w:rPr>
          <w:color w:val="202020"/>
        </w:rPr>
        <w:t>beam</w:t>
      </w:r>
      <w:r>
        <w:rPr>
          <w:color w:val="202020"/>
          <w:spacing w:val="1"/>
        </w:rPr>
        <w:t> </w:t>
      </w:r>
      <w:r>
        <w:rPr>
          <w:color w:val="202020"/>
        </w:rPr>
        <w:t>computed</w:t>
      </w:r>
      <w:r>
        <w:rPr>
          <w:color w:val="202020"/>
          <w:spacing w:val="1"/>
        </w:rPr>
        <w:t> </w:t>
      </w:r>
      <w:r>
        <w:rPr>
          <w:color w:val="202020"/>
        </w:rPr>
        <w:t>tomography</w:t>
      </w:r>
      <w:r>
        <w:rPr>
          <w:color w:val="202020"/>
          <w:spacing w:val="1"/>
        </w:rPr>
        <w:t> </w:t>
      </w:r>
      <w:r>
        <w:rPr>
          <w:color w:val="202020"/>
        </w:rPr>
        <w:t>(CBCT)(5)</w:t>
      </w:r>
      <w:r>
        <w:rPr>
          <w:color w:val="202020"/>
          <w:spacing w:val="1"/>
        </w:rPr>
        <w:t> </w:t>
      </w:r>
      <w:r>
        <w:rPr>
          <w:color w:val="202020"/>
        </w:rPr>
        <w:t>and</w:t>
      </w:r>
      <w:r>
        <w:rPr>
          <w:color w:val="202020"/>
          <w:spacing w:val="1"/>
        </w:rPr>
        <w:t> </w:t>
      </w:r>
      <w:r>
        <w:rPr>
          <w:color w:val="202020"/>
        </w:rPr>
        <w:t>ultrasonography (US)(6). It was a 3 stages study. First</w:t>
      </w:r>
      <w:r>
        <w:rPr>
          <w:color w:val="202020"/>
          <w:spacing w:val="1"/>
        </w:rPr>
        <w:t> </w:t>
      </w:r>
      <w:r>
        <w:rPr>
          <w:color w:val="202020"/>
        </w:rPr>
        <w:t>stage:</w:t>
      </w:r>
      <w:r>
        <w:rPr>
          <w:color w:val="202020"/>
          <w:spacing w:val="1"/>
        </w:rPr>
        <w:t> </w:t>
      </w:r>
      <w:r>
        <w:rPr>
          <w:color w:val="202020"/>
        </w:rPr>
        <w:t>Check</w:t>
      </w:r>
      <w:r>
        <w:rPr>
          <w:color w:val="202020"/>
          <w:spacing w:val="1"/>
        </w:rPr>
        <w:t> </w:t>
      </w:r>
      <w:r>
        <w:rPr>
          <w:color w:val="202020"/>
        </w:rPr>
        <w:t>the</w:t>
      </w:r>
      <w:r>
        <w:rPr>
          <w:color w:val="202020"/>
          <w:spacing w:val="1"/>
        </w:rPr>
        <w:t> </w:t>
      </w:r>
      <w:r>
        <w:rPr>
          <w:color w:val="202020"/>
        </w:rPr>
        <w:t>correspondence</w:t>
      </w:r>
      <w:r>
        <w:rPr>
          <w:color w:val="202020"/>
          <w:spacing w:val="1"/>
        </w:rPr>
        <w:t> </w:t>
      </w:r>
      <w:r>
        <w:rPr>
          <w:color w:val="202020"/>
        </w:rPr>
        <w:t>between</w:t>
      </w:r>
      <w:r>
        <w:rPr>
          <w:color w:val="202020"/>
          <w:spacing w:val="1"/>
        </w:rPr>
        <w:t> </w:t>
      </w:r>
      <w:r>
        <w:rPr>
          <w:color w:val="202020"/>
        </w:rPr>
        <w:t>the</w:t>
      </w:r>
      <w:r>
        <w:rPr>
          <w:color w:val="202020"/>
          <w:spacing w:val="1"/>
        </w:rPr>
        <w:t> </w:t>
      </w:r>
      <w:r>
        <w:rPr>
          <w:color w:val="202020"/>
        </w:rPr>
        <w:t>facial</w:t>
      </w:r>
      <w:r>
        <w:rPr>
          <w:color w:val="202020"/>
          <w:spacing w:val="1"/>
        </w:rPr>
        <w:t> </w:t>
      </w:r>
      <w:r>
        <w:rPr>
          <w:color w:val="202020"/>
        </w:rPr>
        <w:t>points and the osseous components of the TMJ using</w:t>
      </w:r>
      <w:r>
        <w:rPr>
          <w:color w:val="202020"/>
          <w:spacing w:val="1"/>
        </w:rPr>
        <w:t> </w:t>
      </w:r>
      <w:r>
        <w:rPr>
          <w:color w:val="202020"/>
        </w:rPr>
        <w:t>CBCT. Second stage: Injection of the upper and lower</w:t>
      </w:r>
      <w:r>
        <w:rPr>
          <w:color w:val="202020"/>
          <w:spacing w:val="1"/>
        </w:rPr>
        <w:t> </w:t>
      </w:r>
      <w:r>
        <w:rPr>
          <w:color w:val="202020"/>
        </w:rPr>
        <w:t>compartments</w:t>
      </w:r>
      <w:r>
        <w:rPr>
          <w:color w:val="202020"/>
          <w:spacing w:val="1"/>
        </w:rPr>
        <w:t> </w:t>
      </w:r>
      <w:r>
        <w:rPr>
          <w:color w:val="202020"/>
        </w:rPr>
        <w:t>of</w:t>
      </w:r>
      <w:r>
        <w:rPr>
          <w:color w:val="202020"/>
          <w:spacing w:val="1"/>
        </w:rPr>
        <w:t> </w:t>
      </w:r>
      <w:r>
        <w:rPr>
          <w:color w:val="202020"/>
        </w:rPr>
        <w:t>20</w:t>
      </w:r>
      <w:r>
        <w:rPr>
          <w:color w:val="202020"/>
          <w:spacing w:val="1"/>
        </w:rPr>
        <w:t> </w:t>
      </w:r>
      <w:r>
        <w:rPr>
          <w:color w:val="202020"/>
        </w:rPr>
        <w:t>TMJs</w:t>
      </w:r>
      <w:r>
        <w:rPr>
          <w:color w:val="202020"/>
          <w:spacing w:val="1"/>
        </w:rPr>
        <w:t> </w:t>
      </w:r>
      <w:r>
        <w:rPr>
          <w:color w:val="202020"/>
        </w:rPr>
        <w:t>of</w:t>
      </w:r>
      <w:r>
        <w:rPr>
          <w:color w:val="202020"/>
          <w:spacing w:val="1"/>
        </w:rPr>
        <w:t> </w:t>
      </w:r>
      <w:r>
        <w:rPr>
          <w:color w:val="202020"/>
        </w:rPr>
        <w:t>frozen</w:t>
      </w:r>
      <w:r>
        <w:rPr>
          <w:color w:val="202020"/>
          <w:spacing w:val="1"/>
        </w:rPr>
        <w:t> </w:t>
      </w:r>
      <w:r>
        <w:rPr>
          <w:color w:val="202020"/>
        </w:rPr>
        <w:t>cadavers</w:t>
      </w:r>
      <w:r>
        <w:rPr>
          <w:color w:val="202020"/>
          <w:spacing w:val="55"/>
        </w:rPr>
        <w:t> </w:t>
      </w:r>
      <w:r>
        <w:rPr>
          <w:color w:val="202020"/>
        </w:rPr>
        <w:t>with</w:t>
      </w:r>
      <w:r>
        <w:rPr>
          <w:color w:val="202020"/>
          <w:spacing w:val="1"/>
        </w:rPr>
        <w:t> </w:t>
      </w:r>
      <w:r>
        <w:rPr>
          <w:color w:val="202020"/>
        </w:rPr>
        <w:t>colored</w:t>
      </w:r>
      <w:r>
        <w:rPr>
          <w:color w:val="202020"/>
          <w:spacing w:val="1"/>
        </w:rPr>
        <w:t> </w:t>
      </w:r>
      <w:r>
        <w:rPr>
          <w:color w:val="202020"/>
        </w:rPr>
        <w:t>liquids,</w:t>
      </w:r>
      <w:r>
        <w:rPr>
          <w:color w:val="202020"/>
          <w:spacing w:val="1"/>
        </w:rPr>
        <w:t> </w:t>
      </w:r>
      <w:r>
        <w:rPr>
          <w:color w:val="202020"/>
        </w:rPr>
        <w:t>and</w:t>
      </w:r>
      <w:r>
        <w:rPr>
          <w:color w:val="202020"/>
          <w:spacing w:val="1"/>
        </w:rPr>
        <w:t> </w:t>
      </w:r>
      <w:r>
        <w:rPr>
          <w:color w:val="202020"/>
        </w:rPr>
        <w:t>dissecting</w:t>
      </w:r>
      <w:r>
        <w:rPr>
          <w:color w:val="202020"/>
          <w:spacing w:val="1"/>
        </w:rPr>
        <w:t> </w:t>
      </w:r>
      <w:r>
        <w:rPr>
          <w:color w:val="202020"/>
        </w:rPr>
        <w:t>the</w:t>
      </w:r>
      <w:r>
        <w:rPr>
          <w:color w:val="202020"/>
          <w:spacing w:val="1"/>
        </w:rPr>
        <w:t> </w:t>
      </w:r>
      <w:r>
        <w:rPr>
          <w:color w:val="202020"/>
        </w:rPr>
        <w:t>specimens,</w:t>
      </w:r>
      <w:r>
        <w:rPr>
          <w:color w:val="202020"/>
          <w:spacing w:val="1"/>
        </w:rPr>
        <w:t> </w:t>
      </w:r>
      <w:r>
        <w:rPr>
          <w:color w:val="202020"/>
        </w:rPr>
        <w:t>Third</w:t>
      </w:r>
      <w:r>
        <w:rPr>
          <w:color w:val="202020"/>
          <w:spacing w:val="1"/>
        </w:rPr>
        <w:t> </w:t>
      </w:r>
      <w:r>
        <w:rPr>
          <w:color w:val="202020"/>
        </w:rPr>
        <w:t>stage:</w:t>
      </w:r>
      <w:r>
        <w:rPr>
          <w:color w:val="202020"/>
          <w:spacing w:val="1"/>
        </w:rPr>
        <w:t> </w:t>
      </w:r>
      <w:r>
        <w:rPr>
          <w:color w:val="202020"/>
        </w:rPr>
        <w:t>VS</w:t>
      </w:r>
      <w:r>
        <w:rPr>
          <w:color w:val="202020"/>
          <w:spacing w:val="1"/>
        </w:rPr>
        <w:t> </w:t>
      </w:r>
      <w:r>
        <w:rPr>
          <w:color w:val="202020"/>
        </w:rPr>
        <w:t>in</w:t>
      </w:r>
      <w:r>
        <w:rPr>
          <w:color w:val="202020"/>
          <w:spacing w:val="1"/>
        </w:rPr>
        <w:t> </w:t>
      </w:r>
      <w:r>
        <w:rPr>
          <w:color w:val="202020"/>
        </w:rPr>
        <w:t>20</w:t>
      </w:r>
      <w:r>
        <w:rPr>
          <w:color w:val="202020"/>
          <w:spacing w:val="1"/>
        </w:rPr>
        <w:t> </w:t>
      </w:r>
      <w:r>
        <w:rPr>
          <w:color w:val="202020"/>
        </w:rPr>
        <w:t>TMJs</w:t>
      </w:r>
      <w:r>
        <w:rPr>
          <w:color w:val="202020"/>
          <w:spacing w:val="1"/>
        </w:rPr>
        <w:t> </w:t>
      </w:r>
      <w:r>
        <w:rPr>
          <w:color w:val="202020"/>
        </w:rPr>
        <w:t>with</w:t>
      </w:r>
      <w:r>
        <w:rPr>
          <w:color w:val="202020"/>
          <w:spacing w:val="1"/>
        </w:rPr>
        <w:t> </w:t>
      </w:r>
      <w:r>
        <w:rPr>
          <w:color w:val="202020"/>
        </w:rPr>
        <w:t>verification</w:t>
      </w:r>
      <w:r>
        <w:rPr>
          <w:color w:val="202020"/>
          <w:spacing w:val="56"/>
        </w:rPr>
        <w:t> </w:t>
      </w:r>
      <w:r>
        <w:rPr>
          <w:color w:val="202020"/>
        </w:rPr>
        <w:t>by</w:t>
      </w:r>
      <w:r>
        <w:rPr>
          <w:color w:val="202020"/>
          <w:spacing w:val="1"/>
        </w:rPr>
        <w:t> </w:t>
      </w:r>
      <w:r>
        <w:rPr>
          <w:color w:val="202020"/>
        </w:rPr>
        <w:t>ultrasonography.</w:t>
      </w:r>
      <w:r>
        <w:rPr>
          <w:color w:val="202020"/>
          <w:spacing w:val="1"/>
        </w:rPr>
        <w:t> </w:t>
      </w:r>
      <w:r>
        <w:rPr>
          <w:color w:val="202020"/>
        </w:rPr>
        <w:t>The proposed protocol was effective for</w:t>
      </w:r>
      <w:r>
        <w:rPr>
          <w:color w:val="202020"/>
          <w:spacing w:val="-53"/>
        </w:rPr>
        <w:t> </w:t>
      </w:r>
      <w:r>
        <w:rPr>
          <w:color w:val="202020"/>
        </w:rPr>
        <w:t>accessing the upper and lower compartments of the TMJ.</w:t>
      </w:r>
      <w:r>
        <w:rPr>
          <w:color w:val="202020"/>
          <w:spacing w:val="-53"/>
        </w:rPr>
        <w:t> </w:t>
      </w:r>
      <w:r>
        <w:rPr>
          <w:color w:val="202020"/>
        </w:rPr>
        <w:t>The evaluated protocol proved to be accurate, safe, and</w:t>
      </w:r>
      <w:r>
        <w:rPr>
          <w:color w:val="202020"/>
          <w:spacing w:val="1"/>
        </w:rPr>
        <w:t> </w:t>
      </w:r>
      <w:r>
        <w:rPr>
          <w:color w:val="202020"/>
        </w:rPr>
        <w:t>clinically reproducible for the assessment of upper and</w:t>
      </w:r>
      <w:r>
        <w:rPr>
          <w:color w:val="202020"/>
          <w:spacing w:val="1"/>
        </w:rPr>
        <w:t> </w:t>
      </w:r>
      <w:r>
        <w:rPr>
          <w:color w:val="202020"/>
        </w:rPr>
        <w:t>lower</w:t>
      </w:r>
      <w:r>
        <w:rPr>
          <w:color w:val="202020"/>
          <w:spacing w:val="-2"/>
        </w:rPr>
        <w:t> </w:t>
      </w:r>
      <w:r>
        <w:rPr>
          <w:color w:val="202020"/>
        </w:rPr>
        <w:t>compartments</w:t>
      </w:r>
      <w:r>
        <w:rPr>
          <w:color w:val="202020"/>
          <w:spacing w:val="1"/>
        </w:rPr>
        <w:t> </w:t>
      </w:r>
      <w:r>
        <w:rPr>
          <w:color w:val="202020"/>
        </w:rPr>
        <w:t>(4).</w:t>
      </w:r>
    </w:p>
    <w:p>
      <w:pPr>
        <w:pStyle w:val="BodyText"/>
        <w:spacing w:line="360" w:lineRule="auto" w:before="93"/>
        <w:ind w:left="197" w:right="117"/>
        <w:jc w:val="both"/>
      </w:pPr>
      <w:r>
        <w:rPr/>
        <w:br w:type="column"/>
      </w:r>
      <w:r>
        <w:rPr>
          <w:color w:val="202020"/>
        </w:rPr>
        <w:t>Superior and inferior joint space injections of Hyaluronic</w:t>
      </w:r>
      <w:r>
        <w:rPr>
          <w:color w:val="202020"/>
          <w:spacing w:val="1"/>
        </w:rPr>
        <w:t> </w:t>
      </w:r>
      <w:r>
        <w:rPr>
          <w:color w:val="202020"/>
        </w:rPr>
        <w:t>acid</w:t>
      </w:r>
      <w:r>
        <w:rPr>
          <w:color w:val="202020"/>
          <w:spacing w:val="1"/>
        </w:rPr>
        <w:t> </w:t>
      </w:r>
      <w:r>
        <w:rPr>
          <w:color w:val="202020"/>
        </w:rPr>
        <w:t>(HA)</w:t>
      </w:r>
      <w:r>
        <w:rPr>
          <w:color w:val="202020"/>
          <w:spacing w:val="1"/>
        </w:rPr>
        <w:t> </w:t>
      </w:r>
      <w:r>
        <w:rPr>
          <w:color w:val="202020"/>
        </w:rPr>
        <w:t>are</w:t>
      </w:r>
      <w:r>
        <w:rPr>
          <w:color w:val="202020"/>
          <w:spacing w:val="1"/>
        </w:rPr>
        <w:t> </w:t>
      </w:r>
      <w:r>
        <w:rPr>
          <w:color w:val="202020"/>
        </w:rPr>
        <w:t>effective</w:t>
      </w:r>
      <w:r>
        <w:rPr>
          <w:color w:val="202020"/>
          <w:spacing w:val="1"/>
        </w:rPr>
        <w:t> </w:t>
      </w:r>
      <w:r>
        <w:rPr>
          <w:color w:val="202020"/>
        </w:rPr>
        <w:t>methods</w:t>
      </w:r>
      <w:r>
        <w:rPr>
          <w:color w:val="202020"/>
          <w:spacing w:val="1"/>
        </w:rPr>
        <w:t> </w:t>
      </w:r>
      <w:r>
        <w:rPr>
          <w:color w:val="202020"/>
        </w:rPr>
        <w:t>for</w:t>
      </w:r>
      <w:r>
        <w:rPr>
          <w:color w:val="202020"/>
          <w:spacing w:val="1"/>
        </w:rPr>
        <w:t> </w:t>
      </w:r>
      <w:r>
        <w:rPr>
          <w:color w:val="202020"/>
        </w:rPr>
        <w:t>the</w:t>
      </w:r>
      <w:r>
        <w:rPr>
          <w:color w:val="202020"/>
          <w:spacing w:val="1"/>
        </w:rPr>
        <w:t> </w:t>
      </w:r>
      <w:r>
        <w:rPr>
          <w:color w:val="202020"/>
        </w:rPr>
        <w:t>treatment</w:t>
      </w:r>
      <w:r>
        <w:rPr>
          <w:color w:val="202020"/>
          <w:spacing w:val="1"/>
        </w:rPr>
        <w:t> </w:t>
      </w:r>
      <w:r>
        <w:rPr>
          <w:color w:val="202020"/>
        </w:rPr>
        <w:t>of</w:t>
      </w:r>
      <w:r>
        <w:rPr>
          <w:color w:val="202020"/>
          <w:spacing w:val="1"/>
        </w:rPr>
        <w:t> </w:t>
      </w:r>
      <w:r>
        <w:rPr>
          <w:color w:val="202020"/>
        </w:rPr>
        <w:t>temporomandibular</w:t>
      </w:r>
      <w:r>
        <w:rPr>
          <w:color w:val="202020"/>
          <w:spacing w:val="1"/>
        </w:rPr>
        <w:t> </w:t>
      </w:r>
      <w:r>
        <w:rPr>
          <w:color w:val="202020"/>
        </w:rPr>
        <w:t>without</w:t>
      </w:r>
      <w:r>
        <w:rPr>
          <w:color w:val="202020"/>
          <w:spacing w:val="1"/>
        </w:rPr>
        <w:t> </w:t>
      </w:r>
      <w:r>
        <w:rPr>
          <w:color w:val="202020"/>
        </w:rPr>
        <w:t>reduction</w:t>
      </w:r>
      <w:r>
        <w:rPr>
          <w:color w:val="202020"/>
          <w:spacing w:val="1"/>
        </w:rPr>
        <w:t> </w:t>
      </w:r>
      <w:r>
        <w:rPr>
          <w:color w:val="202020"/>
        </w:rPr>
        <w:t>(ADDWR)</w:t>
      </w:r>
      <w:r>
        <w:rPr>
          <w:color w:val="202020"/>
          <w:spacing w:val="1"/>
        </w:rPr>
        <w:t> </w:t>
      </w:r>
      <w:r>
        <w:rPr>
          <w:color w:val="202020"/>
        </w:rPr>
        <w:t>in</w:t>
      </w:r>
      <w:r>
        <w:rPr>
          <w:color w:val="202020"/>
          <w:spacing w:val="1"/>
        </w:rPr>
        <w:t> </w:t>
      </w:r>
      <w:r>
        <w:rPr>
          <w:color w:val="202020"/>
        </w:rPr>
        <w:t>association with TMJ OA. The injection of HA within the</w:t>
      </w:r>
      <w:r>
        <w:rPr>
          <w:color w:val="202020"/>
          <w:spacing w:val="1"/>
        </w:rPr>
        <w:t> </w:t>
      </w:r>
      <w:r>
        <w:rPr>
          <w:color w:val="202020"/>
        </w:rPr>
        <w:t>inferior</w:t>
      </w:r>
      <w:r>
        <w:rPr>
          <w:color w:val="202020"/>
          <w:spacing w:val="1"/>
        </w:rPr>
        <w:t> </w:t>
      </w:r>
      <w:r>
        <w:rPr>
          <w:color w:val="202020"/>
        </w:rPr>
        <w:t>joint</w:t>
      </w:r>
      <w:r>
        <w:rPr>
          <w:color w:val="202020"/>
          <w:spacing w:val="1"/>
        </w:rPr>
        <w:t> </w:t>
      </w:r>
      <w:r>
        <w:rPr>
          <w:color w:val="202020"/>
        </w:rPr>
        <w:t>space</w:t>
      </w:r>
      <w:r>
        <w:rPr>
          <w:color w:val="202020"/>
          <w:spacing w:val="1"/>
        </w:rPr>
        <w:t> </w:t>
      </w:r>
      <w:r>
        <w:rPr>
          <w:color w:val="202020"/>
        </w:rPr>
        <w:t>appears</w:t>
      </w:r>
      <w:r>
        <w:rPr>
          <w:color w:val="202020"/>
          <w:spacing w:val="1"/>
        </w:rPr>
        <w:t> </w:t>
      </w:r>
      <w:r>
        <w:rPr>
          <w:color w:val="202020"/>
        </w:rPr>
        <w:t>to</w:t>
      </w:r>
      <w:r>
        <w:rPr>
          <w:color w:val="202020"/>
          <w:spacing w:val="1"/>
        </w:rPr>
        <w:t> </w:t>
      </w:r>
      <w:r>
        <w:rPr>
          <w:color w:val="202020"/>
        </w:rPr>
        <w:t>result</w:t>
      </w:r>
      <w:r>
        <w:rPr>
          <w:color w:val="202020"/>
          <w:spacing w:val="1"/>
        </w:rPr>
        <w:t> </w:t>
      </w:r>
      <w:r>
        <w:rPr>
          <w:color w:val="202020"/>
        </w:rPr>
        <w:t>in</w:t>
      </w:r>
      <w:r>
        <w:rPr>
          <w:color w:val="202020"/>
          <w:spacing w:val="1"/>
        </w:rPr>
        <w:t> </w:t>
      </w:r>
      <w:r>
        <w:rPr>
          <w:color w:val="202020"/>
        </w:rPr>
        <w:t>better</w:t>
      </w:r>
      <w:r>
        <w:rPr>
          <w:color w:val="202020"/>
          <w:spacing w:val="1"/>
        </w:rPr>
        <w:t> </w:t>
      </w:r>
      <w:r>
        <w:rPr>
          <w:color w:val="202020"/>
        </w:rPr>
        <w:t>condylar</w:t>
      </w:r>
      <w:r>
        <w:rPr>
          <w:color w:val="202020"/>
          <w:spacing w:val="-53"/>
        </w:rPr>
        <w:t> </w:t>
      </w:r>
      <w:r>
        <w:rPr>
          <w:color w:val="202020"/>
        </w:rPr>
        <w:t>reparative</w:t>
      </w:r>
      <w:r>
        <w:rPr>
          <w:color w:val="202020"/>
          <w:spacing w:val="-4"/>
        </w:rPr>
        <w:t> </w:t>
      </w:r>
      <w:r>
        <w:rPr>
          <w:color w:val="202020"/>
        </w:rPr>
        <w:t>remodeling</w:t>
      </w:r>
      <w:r>
        <w:rPr>
          <w:color w:val="202020"/>
          <w:spacing w:val="-2"/>
        </w:rPr>
        <w:t> </w:t>
      </w:r>
      <w:r>
        <w:rPr>
          <w:color w:val="202020"/>
        </w:rPr>
        <w:t>and</w:t>
      </w:r>
      <w:r>
        <w:rPr>
          <w:color w:val="202020"/>
          <w:spacing w:val="-2"/>
        </w:rPr>
        <w:t> </w:t>
      </w:r>
      <w:r>
        <w:rPr>
          <w:color w:val="202020"/>
        </w:rPr>
        <w:t>improvement</w:t>
      </w:r>
      <w:r>
        <w:rPr>
          <w:color w:val="202020"/>
          <w:spacing w:val="2"/>
        </w:rPr>
        <w:t> </w:t>
      </w:r>
      <w:r>
        <w:rPr>
          <w:color w:val="202020"/>
        </w:rPr>
        <w:t>in</w:t>
      </w:r>
      <w:r>
        <w:rPr>
          <w:color w:val="202020"/>
          <w:spacing w:val="-4"/>
        </w:rPr>
        <w:t> </w:t>
      </w:r>
      <w:r>
        <w:rPr>
          <w:color w:val="202020"/>
        </w:rPr>
        <w:t>jaw</w:t>
      </w:r>
      <w:r>
        <w:rPr>
          <w:color w:val="202020"/>
          <w:spacing w:val="-2"/>
        </w:rPr>
        <w:t> </w:t>
      </w:r>
      <w:r>
        <w:rPr>
          <w:color w:val="202020"/>
        </w:rPr>
        <w:t>function</w:t>
      </w:r>
      <w:r>
        <w:rPr>
          <w:color w:val="202020"/>
          <w:spacing w:val="-1"/>
        </w:rPr>
        <w:t> </w:t>
      </w:r>
      <w:r>
        <w:rPr>
          <w:color w:val="202020"/>
        </w:rPr>
        <w:t>(7).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6"/>
        </w:rPr>
      </w:pPr>
    </w:p>
    <w:p>
      <w:pPr>
        <w:tabs>
          <w:tab w:pos="1017" w:val="left" w:leader="none"/>
          <w:tab w:pos="1676" w:val="left" w:leader="none"/>
          <w:tab w:pos="2465" w:val="left" w:leader="none"/>
          <w:tab w:pos="3964" w:val="left" w:leader="none"/>
          <w:tab w:pos="4475" w:val="left" w:leader="none"/>
          <w:tab w:pos="5082" w:val="left" w:leader="none"/>
        </w:tabs>
        <w:spacing w:line="360" w:lineRule="auto" w:before="0"/>
        <w:ind w:left="197" w:right="117" w:firstLine="2501"/>
        <w:jc w:val="left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3855720</wp:posOffset>
            </wp:positionH>
            <wp:positionV relativeFrom="paragraph">
              <wp:posOffset>-539612</wp:posOffset>
            </wp:positionV>
            <wp:extent cx="1187641" cy="599770"/>
            <wp:effectExtent l="0" t="0" r="0" b="0"/>
            <wp:wrapNone/>
            <wp:docPr id="1" name="image1.png" descr="Uma imagem com Carne, pele, pessoa, interior  Descrição gerada automa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641" cy="5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Fig.1- Colored fluids located in the</w:t>
      </w:r>
      <w:r>
        <w:rPr>
          <w:spacing w:val="-47"/>
          <w:sz w:val="18"/>
        </w:rPr>
        <w:t> </w:t>
      </w:r>
      <w:r>
        <w:rPr>
          <w:sz w:val="18"/>
        </w:rPr>
        <w:t>upper</w:t>
        <w:tab/>
        <w:t>and</w:t>
        <w:tab/>
        <w:t>lower</w:t>
        <w:tab/>
        <w:t>compartments</w:t>
        <w:tab/>
        <w:t>of</w:t>
        <w:tab/>
        <w:t>the</w:t>
        <w:tab/>
        <w:t>TMJ</w:t>
      </w:r>
    </w:p>
    <w:p>
      <w:pPr>
        <w:pStyle w:val="BodyText"/>
        <w:ind w:left="196"/>
      </w:pPr>
      <w:r>
        <w:rPr/>
        <w:drawing>
          <wp:inline distT="0" distB="0" distL="0" distR="0">
            <wp:extent cx="3181158" cy="2210276"/>
            <wp:effectExtent l="0" t="0" r="0" b="0"/>
            <wp:docPr id="3" name="image2.jpeg" descr="Uma imagem com texto, captura de ecrã  Descrição gerada automa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158" cy="221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line="348" w:lineRule="auto" w:before="99"/>
        <w:ind w:left="197" w:right="115" w:firstLine="0"/>
        <w:jc w:val="both"/>
        <w:rPr>
          <w:rFonts w:ascii="Microsoft Sans Serif"/>
          <w:sz w:val="18"/>
        </w:rPr>
      </w:pPr>
      <w:r>
        <w:rPr>
          <w:w w:val="90"/>
          <w:sz w:val="18"/>
        </w:rPr>
        <w:t>Fig.2- </w:t>
      </w:r>
      <w:r>
        <w:rPr>
          <w:rFonts w:ascii="Microsoft Sans Serif"/>
          <w:w w:val="90"/>
          <w:sz w:val="18"/>
        </w:rPr>
        <w:t>Preoperative and postoperative measurements of the thickness of</w:t>
      </w:r>
      <w:r>
        <w:rPr>
          <w:rFonts w:ascii="Microsoft Sans Serif"/>
          <w:spacing w:val="1"/>
          <w:w w:val="90"/>
          <w:sz w:val="18"/>
        </w:rPr>
        <w:t> </w:t>
      </w:r>
      <w:r>
        <w:rPr>
          <w:rFonts w:ascii="Microsoft Sans Serif"/>
          <w:sz w:val="18"/>
        </w:rPr>
        <w:t>the lateral</w:t>
      </w:r>
      <w:r>
        <w:rPr>
          <w:rFonts w:ascii="Microsoft Sans Serif"/>
          <w:spacing w:val="-1"/>
          <w:sz w:val="18"/>
        </w:rPr>
        <w:t> </w:t>
      </w:r>
      <w:r>
        <w:rPr>
          <w:rFonts w:ascii="Microsoft Sans Serif"/>
          <w:sz w:val="18"/>
        </w:rPr>
        <w:t>joint</w:t>
      </w:r>
      <w:r>
        <w:rPr>
          <w:rFonts w:ascii="Microsoft Sans Serif"/>
          <w:spacing w:val="-1"/>
          <w:sz w:val="18"/>
        </w:rPr>
        <w:t> </w:t>
      </w:r>
      <w:r>
        <w:rPr>
          <w:rFonts w:ascii="Microsoft Sans Serif"/>
          <w:sz w:val="18"/>
        </w:rPr>
        <w:t>space.</w:t>
      </w:r>
    </w:p>
    <w:p>
      <w:pPr>
        <w:pStyle w:val="BodyText"/>
        <w:spacing w:before="8"/>
        <w:rPr>
          <w:rFonts w:ascii="Microsoft Sans Serif"/>
          <w:sz w:val="8"/>
        </w:rPr>
      </w:pPr>
    </w:p>
    <w:p>
      <w:pPr>
        <w:pStyle w:val="BodyText"/>
        <w:ind w:left="196"/>
        <w:rPr>
          <w:rFonts w:ascii="Microsoft Sans Serif"/>
        </w:rPr>
      </w:pPr>
      <w:r>
        <w:rPr>
          <w:rFonts w:ascii="Microsoft Sans Serif"/>
        </w:rPr>
        <w:drawing>
          <wp:inline distT="0" distB="0" distL="0" distR="0">
            <wp:extent cx="1739295" cy="1743456"/>
            <wp:effectExtent l="0" t="0" r="0" b="0"/>
            <wp:docPr id="5" name="image3.jpeg" descr="Uma imagem com texto, escrita à mão, pele, Carne  Descrição gerada automa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295" cy="174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/>
        </w:rPr>
      </w:r>
    </w:p>
    <w:p>
      <w:pPr>
        <w:pStyle w:val="BodyText"/>
        <w:spacing w:before="1"/>
        <w:rPr>
          <w:rFonts w:ascii="Microsoft Sans Serif"/>
          <w:sz w:val="16"/>
        </w:rPr>
      </w:pPr>
    </w:p>
    <w:p>
      <w:pPr>
        <w:spacing w:before="0"/>
        <w:ind w:left="247" w:right="0" w:firstLine="0"/>
        <w:jc w:val="both"/>
        <w:rPr>
          <w:sz w:val="18"/>
        </w:rPr>
      </w:pPr>
      <w:r>
        <w:rPr>
          <w:sz w:val="18"/>
        </w:rPr>
        <w:t>Fig.3-</w:t>
      </w:r>
      <w:r>
        <w:rPr>
          <w:spacing w:val="7"/>
          <w:sz w:val="18"/>
        </w:rPr>
        <w:t> </w:t>
      </w:r>
      <w:r>
        <w:rPr>
          <w:sz w:val="18"/>
        </w:rPr>
        <w:t>Reference</w:t>
      </w:r>
      <w:r>
        <w:rPr>
          <w:spacing w:val="53"/>
          <w:sz w:val="18"/>
        </w:rPr>
        <w:t> </w:t>
      </w:r>
      <w:r>
        <w:rPr>
          <w:sz w:val="18"/>
        </w:rPr>
        <w:t>points</w:t>
      </w:r>
      <w:r>
        <w:rPr>
          <w:spacing w:val="54"/>
          <w:sz w:val="18"/>
        </w:rPr>
        <w:t> </w:t>
      </w:r>
      <w:r>
        <w:rPr>
          <w:sz w:val="18"/>
        </w:rPr>
        <w:t>proposed</w:t>
      </w:r>
      <w:r>
        <w:rPr>
          <w:spacing w:val="56"/>
          <w:sz w:val="18"/>
        </w:rPr>
        <w:t> </w:t>
      </w:r>
      <w:r>
        <w:rPr>
          <w:sz w:val="18"/>
        </w:rPr>
        <w:t>by</w:t>
      </w:r>
      <w:r>
        <w:rPr>
          <w:spacing w:val="54"/>
          <w:sz w:val="18"/>
        </w:rPr>
        <w:t> </w:t>
      </w:r>
      <w:r>
        <w:rPr>
          <w:sz w:val="18"/>
        </w:rPr>
        <w:t>the</w:t>
      </w:r>
      <w:r>
        <w:rPr>
          <w:spacing w:val="54"/>
          <w:sz w:val="18"/>
        </w:rPr>
        <w:t> </w:t>
      </w:r>
      <w:r>
        <w:rPr>
          <w:sz w:val="18"/>
        </w:rPr>
        <w:t>evaluated</w:t>
      </w:r>
      <w:r>
        <w:rPr>
          <w:spacing w:val="55"/>
          <w:sz w:val="18"/>
        </w:rPr>
        <w:t> </w:t>
      </w:r>
      <w:r>
        <w:rPr>
          <w:sz w:val="18"/>
        </w:rPr>
        <w:t>protocol.</w:t>
      </w:r>
    </w:p>
    <w:p>
      <w:pPr>
        <w:spacing w:after="0"/>
        <w:jc w:val="both"/>
        <w:rPr>
          <w:sz w:val="18"/>
        </w:rPr>
        <w:sectPr>
          <w:type w:val="continuous"/>
          <w:pgSz w:w="11920" w:h="16850"/>
          <w:pgMar w:top="900" w:bottom="280" w:left="500" w:right="480"/>
          <w:cols w:num="2" w:equalWidth="0">
            <w:col w:w="5336" w:space="40"/>
            <w:col w:w="5564"/>
          </w:cols>
        </w:sectPr>
      </w:pPr>
    </w:p>
    <w:p>
      <w:pPr>
        <w:pStyle w:val="BodyText"/>
        <w:spacing w:line="40" w:lineRule="exact"/>
        <w:ind w:left="2324"/>
        <w:rPr>
          <w:sz w:val="4"/>
        </w:rPr>
      </w:pPr>
      <w:r>
        <w:rPr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position w:val="0"/>
          <w:sz w:val="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2"/>
        </w:rPr>
      </w:pPr>
    </w:p>
    <w:p>
      <w:pPr>
        <w:spacing w:line="250" w:lineRule="exact" w:before="0"/>
        <w:ind w:left="2109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933259</wp:posOffset>
            </wp:positionH>
            <wp:positionV relativeFrom="paragraph">
              <wp:posOffset>-537236</wp:posOffset>
            </wp:positionV>
            <wp:extent cx="715632" cy="667384"/>
            <wp:effectExtent l="0" t="0" r="0" b="0"/>
            <wp:wrapNone/>
            <wp:docPr id="7" name="image4.jpeg" descr="Uma imagem com Cara humana, sorrir, pessoa, sobrancelha  Descrição gerada automa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632" cy="667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75.100006pt;margin-top:-43.702126pt;width:82.2pt;height:47.4pt;mso-position-horizontal-relative:page;mso-position-vertical-relative:paragraph;z-index:15730688" coordorigin="9502,-874" coordsize="1644,948">
            <v:shape style="position:absolute;left:9527;top:-850;width:1594;height:898" coordorigin="9527,-849" coordsize="1594,898" path="m9527,-699l9539,-758,9571,-805,9618,-837,9677,-849,10971,-849,11030,-837,11077,-805,11109,-758,11121,-699,11121,-101,11109,-43,11077,5,11030,37,10971,49,9677,49,9618,37,9571,5,9539,-43,9527,-101,9527,-699xe" filled="false" stroked="true" strokeweight="2.5pt" strokecolor="#9bba58">
              <v:path arrowok="t"/>
              <v:stroke dashstyle="solid"/>
            </v:shape>
            <v:shape style="position:absolute;left:9812;top:-701;width:1012;height:551" type="#_x0000_t75" alt="Uma imagem com Tipo de letra, logótipo, texto, Gráficos  Descrição gerada automaticamente" stroked="false">
              <v:imagedata r:id="rId9" o:title=""/>
            </v:shape>
            <w10:wrap type="none"/>
          </v:group>
        </w:pict>
      </w:r>
      <w:r>
        <w:rPr>
          <w:color w:val="BE5A13"/>
          <w:sz w:val="22"/>
        </w:rPr>
        <w:t>Biography</w:t>
      </w:r>
    </w:p>
    <w:p>
      <w:pPr>
        <w:spacing w:line="180" w:lineRule="auto" w:before="39"/>
        <w:ind w:left="332" w:right="347" w:firstLine="0"/>
        <w:jc w:val="both"/>
        <w:rPr>
          <w:sz w:val="18"/>
        </w:rPr>
      </w:pPr>
      <w:r>
        <w:rPr>
          <w:sz w:val="18"/>
        </w:rPr>
        <w:t>Susana Perdigoto passion is to enhance the health and well-being of patients. Has pursued a career in the study of orofacial</w:t>
      </w:r>
      <w:r>
        <w:rPr>
          <w:spacing w:val="1"/>
          <w:sz w:val="18"/>
        </w:rPr>
        <w:t> </w:t>
      </w:r>
      <w:r>
        <w:rPr>
          <w:sz w:val="18"/>
        </w:rPr>
        <w:t>pain,</w:t>
      </w:r>
      <w:r>
        <w:rPr>
          <w:spacing w:val="1"/>
          <w:sz w:val="18"/>
        </w:rPr>
        <w:t> </w:t>
      </w:r>
      <w:r>
        <w:rPr>
          <w:sz w:val="18"/>
        </w:rPr>
        <w:t>temporomandibular</w:t>
      </w:r>
      <w:r>
        <w:rPr>
          <w:spacing w:val="1"/>
          <w:sz w:val="18"/>
        </w:rPr>
        <w:t> </w:t>
      </w:r>
      <w:r>
        <w:rPr>
          <w:sz w:val="18"/>
        </w:rPr>
        <w:t>disorders,</w:t>
      </w:r>
      <w:r>
        <w:rPr>
          <w:spacing w:val="1"/>
          <w:sz w:val="18"/>
        </w:rPr>
        <w:t> </w:t>
      </w:r>
      <w:r>
        <w:rPr>
          <w:sz w:val="18"/>
        </w:rPr>
        <w:t>genetics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pharmacokinetics,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sleep</w:t>
      </w:r>
      <w:r>
        <w:rPr>
          <w:spacing w:val="1"/>
          <w:sz w:val="18"/>
        </w:rPr>
        <w:t> </w:t>
      </w:r>
      <w:r>
        <w:rPr>
          <w:sz w:val="18"/>
        </w:rPr>
        <w:t>disorders.</w:t>
      </w:r>
      <w:r>
        <w:rPr>
          <w:spacing w:val="1"/>
          <w:sz w:val="18"/>
        </w:rPr>
        <w:t> </w:t>
      </w:r>
      <w:r>
        <w:rPr>
          <w:sz w:val="18"/>
        </w:rPr>
        <w:t>Private</w:t>
      </w:r>
      <w:r>
        <w:rPr>
          <w:spacing w:val="1"/>
          <w:sz w:val="18"/>
        </w:rPr>
        <w:t> </w:t>
      </w:r>
      <w:r>
        <w:rPr>
          <w:sz w:val="18"/>
        </w:rPr>
        <w:t>practice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Klinicaperioimplantologica, and invited teacher in European University and ECDS group. Believes that in medicine one should</w:t>
      </w:r>
      <w:r>
        <w:rPr>
          <w:spacing w:val="1"/>
          <w:sz w:val="18"/>
        </w:rPr>
        <w:t> </w:t>
      </w:r>
      <w:r>
        <w:rPr>
          <w:sz w:val="18"/>
        </w:rPr>
        <w:t>spread</w:t>
      </w:r>
      <w:r>
        <w:rPr>
          <w:spacing w:val="-1"/>
          <w:sz w:val="18"/>
        </w:rPr>
        <w:t> </w:t>
      </w:r>
      <w:r>
        <w:rPr>
          <w:sz w:val="18"/>
        </w:rPr>
        <w:t>knowledge</w:t>
      </w:r>
      <w:r>
        <w:rPr>
          <w:spacing w:val="-2"/>
          <w:sz w:val="18"/>
        </w:rPr>
        <w:t> </w:t>
      </w:r>
      <w:r>
        <w:rPr>
          <w:sz w:val="18"/>
        </w:rPr>
        <w:t>for the good of all.</w:t>
      </w:r>
    </w:p>
    <w:p>
      <w:pPr>
        <w:spacing w:line="209" w:lineRule="exact" w:before="0"/>
        <w:ind w:left="332" w:right="0" w:firstLine="0"/>
        <w:jc w:val="both"/>
        <w:rPr>
          <w:rFonts w:ascii="Microsoft Sans Serif"/>
          <w:sz w:val="22"/>
        </w:rPr>
      </w:pPr>
      <w:r>
        <w:rPr>
          <w:w w:val="90"/>
          <w:sz w:val="14"/>
        </w:rPr>
        <w:t>Email:</w:t>
      </w:r>
      <w:r>
        <w:rPr>
          <w:spacing w:val="17"/>
          <w:w w:val="90"/>
          <w:sz w:val="14"/>
        </w:rPr>
        <w:t> </w:t>
      </w:r>
      <w:hyperlink r:id="rId10">
        <w:r>
          <w:rPr>
            <w:rFonts w:ascii="Microsoft Sans Serif"/>
            <w:w w:val="90"/>
            <w:sz w:val="22"/>
          </w:rPr>
          <w:t>susanaperdigoto1@gmail.com</w:t>
        </w:r>
      </w:hyperlink>
    </w:p>
    <w:p>
      <w:pPr>
        <w:pStyle w:val="BodyText"/>
        <w:spacing w:before="1"/>
        <w:rPr>
          <w:rFonts w:ascii="Microsoft Sans Serif"/>
          <w:sz w:val="18"/>
        </w:rPr>
      </w:pPr>
      <w:r>
        <w:rPr/>
        <w:pict>
          <v:shape style="position:absolute;margin-left:162.100006pt;margin-top:12.460555pt;width:271.05pt;height:.1pt;mso-position-horizontal-relative:page;mso-position-vertical-relative:paragraph;z-index:-15727616;mso-wrap-distance-left:0;mso-wrap-distance-right:0" coordorigin="3242,249" coordsize="5421,0" path="m3242,249l8663,249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Microsoft Sans Serif"/>
          <w:sz w:val="24"/>
        </w:rPr>
      </w:pPr>
    </w:p>
    <w:p>
      <w:pPr>
        <w:pStyle w:val="BodyText"/>
        <w:rPr>
          <w:rFonts w:ascii="Microsoft Sans Serif"/>
          <w:sz w:val="24"/>
        </w:rPr>
      </w:pPr>
    </w:p>
    <w:p>
      <w:pPr>
        <w:pStyle w:val="BodyText"/>
        <w:spacing w:before="10"/>
        <w:rPr>
          <w:rFonts w:ascii="Microsoft Sans Serif"/>
          <w:sz w:val="24"/>
        </w:rPr>
      </w:pPr>
    </w:p>
    <w:p>
      <w:pPr>
        <w:pStyle w:val="BodyText"/>
        <w:ind w:left="220"/>
        <w:rPr>
          <w:rFonts w:ascii="Cambria Math"/>
        </w:rPr>
      </w:pPr>
      <w:r>
        <w:rPr>
          <w:rFonts w:ascii="Cambria Math"/>
        </w:rPr>
        <w:t>Notes/Comments:</w:t>
      </w:r>
    </w:p>
    <w:p>
      <w:pPr>
        <w:pStyle w:val="BodyText"/>
        <w:rPr>
          <w:rFonts w:ascii="Cambria Math"/>
          <w:sz w:val="24"/>
        </w:rPr>
      </w:pPr>
    </w:p>
    <w:p>
      <w:pPr>
        <w:pStyle w:val="BodyText"/>
        <w:ind w:left="119" w:right="118"/>
        <w:jc w:val="both"/>
      </w:pPr>
      <w:r>
        <w:rPr/>
        <w:t>The work group is composed by Eduardo Januzzi, Thays Crosara Abrahão Cunha, Graziella Silva, Susana Perdigoto,</w:t>
      </w:r>
      <w:r>
        <w:rPr>
          <w:spacing w:val="1"/>
        </w:rPr>
        <w:t> </w:t>
      </w:r>
      <w:r>
        <w:rPr/>
        <w:t>Beatriz Dulcinéia Mendes Souza, Adriana Soares</w:t>
      </w:r>
      <w:r>
        <w:rPr>
          <w:spacing w:val="1"/>
        </w:rPr>
        <w:t> </w:t>
      </w:r>
      <w:r>
        <w:rPr/>
        <w:t>Bicalho Duarte,</w:t>
      </w:r>
      <w:r>
        <w:rPr>
          <w:spacing w:val="1"/>
        </w:rPr>
        <w:t> </w:t>
      </w:r>
      <w:r>
        <w:rPr/>
        <w:t>Marcella Rezende Serpa Zanini, Adriana Maria</w:t>
      </w:r>
      <w:r>
        <w:rPr>
          <w:spacing w:val="1"/>
        </w:rPr>
        <w:t> </w:t>
      </w:r>
      <w:r>
        <w:rPr/>
        <w:t>Andrade, Alexsander Ribeiro Pedrosa, Antônio Luís Neto Custódio and Maurício Augusto Aquino Castro, and we lecture</w:t>
      </w:r>
      <w:r>
        <w:rPr>
          <w:spacing w:val="1"/>
        </w:rPr>
        <w:t> </w:t>
      </w:r>
      <w:r>
        <w:rPr/>
        <w:t>in European</w:t>
      </w:r>
      <w:r>
        <w:rPr>
          <w:spacing w:val="2"/>
        </w:rPr>
        <w:t> </w:t>
      </w:r>
      <w:r>
        <w:rPr/>
        <w:t>center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dentistry</w:t>
      </w:r>
      <w:r>
        <w:rPr>
          <w:spacing w:val="2"/>
        </w:rPr>
        <w:t> </w:t>
      </w:r>
      <w:r>
        <w:rPr/>
        <w:t>specialty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Portugal.</w:t>
      </w:r>
    </w:p>
    <w:p>
      <w:pPr>
        <w:pStyle w:val="BodyText"/>
        <w:ind w:left="119" w:right="120"/>
        <w:jc w:val="both"/>
      </w:pPr>
      <w:r>
        <w:rPr/>
        <w:t>The assessment protocol was conducted</w:t>
      </w:r>
      <w:r>
        <w:rPr>
          <w:spacing w:val="55"/>
        </w:rPr>
        <w:t> </w:t>
      </w:r>
      <w:r>
        <w:rPr/>
        <w:t>at Department of Dental Clinics, Oral Pathology and Oral Surgery of the</w:t>
      </w:r>
      <w:r>
        <w:rPr>
          <w:spacing w:val="1"/>
        </w:rPr>
        <w:t> </w:t>
      </w:r>
      <w:r>
        <w:rPr/>
        <w:t>Faculty</w:t>
      </w:r>
      <w:r>
        <w:rPr>
          <w:spacing w:val="33"/>
        </w:rPr>
        <w:t> </w:t>
      </w:r>
      <w:r>
        <w:rPr/>
        <w:t>of</w:t>
      </w:r>
      <w:r>
        <w:rPr>
          <w:spacing w:val="29"/>
        </w:rPr>
        <w:t> </w:t>
      </w:r>
      <w:r>
        <w:rPr/>
        <w:t>Dentistry</w:t>
      </w:r>
      <w:r>
        <w:rPr>
          <w:spacing w:val="33"/>
        </w:rPr>
        <w:t> </w:t>
      </w:r>
      <w:r>
        <w:rPr/>
        <w:t>of</w:t>
      </w:r>
      <w:r>
        <w:rPr>
          <w:spacing w:val="31"/>
        </w:rPr>
        <w:t> </w:t>
      </w:r>
      <w:r>
        <w:rPr/>
        <w:t>the</w:t>
      </w:r>
      <w:r>
        <w:rPr>
          <w:spacing w:val="29"/>
        </w:rPr>
        <w:t> </w:t>
      </w:r>
      <w:r>
        <w:rPr/>
        <w:t>Federal</w:t>
      </w:r>
      <w:r>
        <w:rPr>
          <w:spacing w:val="31"/>
        </w:rPr>
        <w:t> </w:t>
      </w:r>
      <w:r>
        <w:rPr/>
        <w:t>University</w:t>
      </w:r>
      <w:r>
        <w:rPr>
          <w:spacing w:val="33"/>
        </w:rPr>
        <w:t> </w:t>
      </w:r>
      <w:r>
        <w:rPr/>
        <w:t>of</w:t>
      </w:r>
      <w:r>
        <w:rPr>
          <w:spacing w:val="31"/>
        </w:rPr>
        <w:t> </w:t>
      </w:r>
      <w:r>
        <w:rPr/>
        <w:t>Minas</w:t>
      </w:r>
      <w:r>
        <w:rPr>
          <w:spacing w:val="38"/>
        </w:rPr>
        <w:t> </w:t>
      </w:r>
      <w:r>
        <w:rPr/>
        <w:t>Gerais</w:t>
      </w:r>
      <w:r>
        <w:rPr>
          <w:spacing w:val="34"/>
        </w:rPr>
        <w:t> </w:t>
      </w:r>
      <w:r>
        <w:rPr/>
        <w:t>by</w:t>
      </w:r>
      <w:r>
        <w:rPr>
          <w:spacing w:val="31"/>
        </w:rPr>
        <w:t> </w:t>
      </w:r>
      <w:r>
        <w:rPr/>
        <w:t>the</w:t>
      </w:r>
      <w:r>
        <w:rPr>
          <w:spacing w:val="32"/>
        </w:rPr>
        <w:t> </w:t>
      </w:r>
      <w:r>
        <w:rPr/>
        <w:t>Brazilian</w:t>
      </w:r>
      <w:r>
        <w:rPr>
          <w:spacing w:val="33"/>
        </w:rPr>
        <w:t> </w:t>
      </w:r>
      <w:r>
        <w:rPr/>
        <w:t>team.</w:t>
      </w:r>
    </w:p>
    <w:p>
      <w:pPr>
        <w:spacing w:after="0"/>
        <w:jc w:val="both"/>
        <w:sectPr>
          <w:pgSz w:w="11920" w:h="16850"/>
          <w:pgMar w:top="1560" w:bottom="280" w:left="500" w:right="480"/>
        </w:sectPr>
      </w:pPr>
    </w:p>
    <w:p>
      <w:pPr>
        <w:spacing w:line="248" w:lineRule="exact" w:before="63"/>
        <w:ind w:left="10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w w:val="85"/>
          <w:sz w:val="22"/>
        </w:rPr>
        <w:t>Presenting</w:t>
      </w:r>
      <w:r>
        <w:rPr>
          <w:rFonts w:ascii="Arial"/>
          <w:b/>
          <w:spacing w:val="7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author</w:t>
      </w:r>
      <w:r>
        <w:rPr>
          <w:rFonts w:ascii="Arial"/>
          <w:b/>
          <w:spacing w:val="9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details</w:t>
      </w:r>
    </w:p>
    <w:p>
      <w:pPr>
        <w:spacing w:line="239" w:lineRule="exact" w:before="0"/>
        <w:ind w:left="100" w:right="0" w:firstLine="0"/>
        <w:jc w:val="left"/>
        <w:rPr>
          <w:rFonts w:ascii="Microsoft Sans Serif"/>
          <w:sz w:val="22"/>
        </w:rPr>
      </w:pPr>
      <w:r>
        <w:rPr>
          <w:rFonts w:ascii="Microsoft Sans Serif"/>
          <w:w w:val="85"/>
          <w:sz w:val="22"/>
        </w:rPr>
        <w:t>Full</w:t>
      </w:r>
      <w:r>
        <w:rPr>
          <w:rFonts w:ascii="Microsoft Sans Serif"/>
          <w:spacing w:val="3"/>
          <w:w w:val="85"/>
          <w:sz w:val="22"/>
        </w:rPr>
        <w:t> </w:t>
      </w:r>
      <w:r>
        <w:rPr>
          <w:rFonts w:ascii="Microsoft Sans Serif"/>
          <w:w w:val="85"/>
          <w:sz w:val="22"/>
        </w:rPr>
        <w:t>name:</w:t>
      </w:r>
    </w:p>
    <w:p>
      <w:pPr>
        <w:spacing w:line="239" w:lineRule="exact" w:before="0"/>
        <w:ind w:left="100" w:right="0" w:firstLine="0"/>
        <w:jc w:val="left"/>
        <w:rPr>
          <w:rFonts w:ascii="Microsoft Sans Serif"/>
          <w:sz w:val="22"/>
        </w:rPr>
      </w:pPr>
      <w:r>
        <w:rPr>
          <w:rFonts w:ascii="Microsoft Sans Serif"/>
          <w:w w:val="85"/>
          <w:sz w:val="22"/>
        </w:rPr>
        <w:t>Contact</w:t>
      </w:r>
      <w:r>
        <w:rPr>
          <w:rFonts w:ascii="Microsoft Sans Serif"/>
          <w:spacing w:val="21"/>
          <w:w w:val="85"/>
          <w:sz w:val="22"/>
        </w:rPr>
        <w:t> </w:t>
      </w:r>
      <w:r>
        <w:rPr>
          <w:rFonts w:ascii="Microsoft Sans Serif"/>
          <w:w w:val="85"/>
          <w:sz w:val="22"/>
        </w:rPr>
        <w:t>number:</w:t>
      </w:r>
    </w:p>
    <w:p>
      <w:pPr>
        <w:spacing w:line="240" w:lineRule="exact" w:before="0"/>
        <w:ind w:left="100" w:right="0" w:firstLine="0"/>
        <w:jc w:val="left"/>
        <w:rPr>
          <w:rFonts w:ascii="Microsoft Sans Serif"/>
          <w:sz w:val="22"/>
        </w:rPr>
      </w:pPr>
      <w:r>
        <w:rPr>
          <w:rFonts w:ascii="Microsoft Sans Serif"/>
          <w:spacing w:val="-1"/>
          <w:sz w:val="22"/>
        </w:rPr>
        <w:t>Mail</w:t>
      </w:r>
      <w:r>
        <w:rPr>
          <w:rFonts w:ascii="Microsoft Sans Serif"/>
          <w:spacing w:val="-13"/>
          <w:sz w:val="22"/>
        </w:rPr>
        <w:t> </w:t>
      </w:r>
      <w:r>
        <w:rPr>
          <w:rFonts w:ascii="Microsoft Sans Serif"/>
          <w:spacing w:val="-1"/>
          <w:sz w:val="22"/>
        </w:rPr>
        <w:t>id:</w:t>
      </w:r>
    </w:p>
    <w:p>
      <w:pPr>
        <w:spacing w:line="245" w:lineRule="exact" w:before="0"/>
        <w:ind w:left="100" w:right="0" w:firstLine="0"/>
        <w:jc w:val="left"/>
        <w:rPr>
          <w:rFonts w:ascii="Microsoft Sans Serif"/>
          <w:sz w:val="22"/>
        </w:rPr>
      </w:pPr>
      <w:r>
        <w:rPr>
          <w:rFonts w:ascii="Microsoft Sans Serif"/>
          <w:w w:val="90"/>
          <w:sz w:val="22"/>
        </w:rPr>
        <w:t>Category:</w:t>
      </w:r>
      <w:r>
        <w:rPr>
          <w:rFonts w:ascii="Microsoft Sans Serif"/>
          <w:spacing w:val="18"/>
          <w:w w:val="90"/>
          <w:sz w:val="22"/>
        </w:rPr>
        <w:t> </w:t>
      </w:r>
      <w:r>
        <w:rPr>
          <w:rFonts w:ascii="Microsoft Sans Serif"/>
          <w:w w:val="90"/>
          <w:sz w:val="22"/>
        </w:rPr>
        <w:t>(Oral</w:t>
      </w:r>
      <w:r>
        <w:rPr>
          <w:rFonts w:ascii="Microsoft Sans Serif"/>
          <w:spacing w:val="18"/>
          <w:w w:val="90"/>
          <w:sz w:val="22"/>
        </w:rPr>
        <w:t> </w:t>
      </w:r>
      <w:r>
        <w:rPr>
          <w:rFonts w:ascii="Microsoft Sans Serif"/>
          <w:w w:val="90"/>
          <w:sz w:val="22"/>
        </w:rPr>
        <w:t>presentation)</w:t>
      </w:r>
    </w:p>
    <w:p>
      <w:pPr>
        <w:spacing w:line="224" w:lineRule="exact" w:before="4"/>
        <w:ind w:left="10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2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0" w:lineRule="auto" w:before="2" w:after="0"/>
        <w:ind w:left="100" w:right="115" w:firstLine="0"/>
        <w:jc w:val="both"/>
        <w:rPr>
          <w:sz w:val="22"/>
        </w:rPr>
      </w:pPr>
      <w:r>
        <w:rPr>
          <w:w w:val="90"/>
          <w:sz w:val="22"/>
        </w:rPr>
        <w:t>Goiato MC, da Silva EV, de Medeiros RA, Túrcio KH, Dos Santos DM. Are intra-articular injections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of hyaluronic acid effective for the treatment of temporomandibular disorders? A systematic review. Int J</w:t>
      </w:r>
      <w:r>
        <w:rPr>
          <w:spacing w:val="1"/>
          <w:w w:val="90"/>
          <w:sz w:val="22"/>
        </w:rPr>
        <w:t> </w:t>
      </w:r>
      <w:r>
        <w:rPr>
          <w:sz w:val="22"/>
        </w:rPr>
        <w:t>Oral</w:t>
      </w:r>
      <w:r>
        <w:rPr>
          <w:spacing w:val="-2"/>
          <w:sz w:val="22"/>
        </w:rPr>
        <w:t> </w:t>
      </w:r>
      <w:r>
        <w:rPr>
          <w:sz w:val="22"/>
        </w:rPr>
        <w:t>Maxillofac</w:t>
      </w:r>
      <w:r>
        <w:rPr>
          <w:spacing w:val="-2"/>
          <w:sz w:val="22"/>
        </w:rPr>
        <w:t> </w:t>
      </w:r>
      <w:r>
        <w:rPr>
          <w:sz w:val="22"/>
        </w:rPr>
        <w:t>Surg.</w:t>
      </w:r>
      <w:r>
        <w:rPr>
          <w:spacing w:val="-1"/>
          <w:sz w:val="22"/>
        </w:rPr>
        <w:t> </w:t>
      </w:r>
      <w:r>
        <w:rPr>
          <w:sz w:val="22"/>
        </w:rPr>
        <w:t>2016;45(12):1531-7.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0" w:lineRule="auto" w:before="1" w:after="0"/>
        <w:ind w:left="100" w:right="121" w:firstLine="0"/>
        <w:jc w:val="both"/>
        <w:rPr>
          <w:sz w:val="22"/>
        </w:rPr>
      </w:pPr>
      <w:r>
        <w:rPr>
          <w:w w:val="90"/>
          <w:sz w:val="22"/>
        </w:rPr>
        <w:t>Orlowsky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EW,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Kraus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VB.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role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innate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immunity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in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osteoarthritis: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when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our</w:t>
      </w:r>
      <w:r>
        <w:rPr>
          <w:spacing w:val="-1"/>
          <w:w w:val="90"/>
          <w:sz w:val="22"/>
        </w:rPr>
        <w:t> </w:t>
      </w:r>
      <w:r>
        <w:rPr>
          <w:w w:val="90"/>
          <w:sz w:val="22"/>
        </w:rPr>
        <w:t>first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line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1"/>
          <w:w w:val="90"/>
          <w:sz w:val="22"/>
        </w:rPr>
        <w:t> </w:t>
      </w:r>
      <w:r>
        <w:rPr>
          <w:w w:val="90"/>
          <w:sz w:val="22"/>
        </w:rPr>
        <w:t>defense</w:t>
      </w:r>
      <w:r>
        <w:rPr>
          <w:spacing w:val="-51"/>
          <w:w w:val="90"/>
          <w:sz w:val="22"/>
        </w:rPr>
        <w:t> </w:t>
      </w:r>
      <w:r>
        <w:rPr>
          <w:sz w:val="22"/>
        </w:rPr>
        <w:t>goes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offensive.</w:t>
      </w:r>
      <w:r>
        <w:rPr>
          <w:spacing w:val="-5"/>
          <w:sz w:val="22"/>
        </w:rPr>
        <w:t> </w:t>
      </w:r>
      <w:r>
        <w:rPr>
          <w:sz w:val="22"/>
        </w:rPr>
        <w:t>J</w:t>
      </w:r>
      <w:r>
        <w:rPr>
          <w:spacing w:val="-7"/>
          <w:sz w:val="22"/>
        </w:rPr>
        <w:t> </w:t>
      </w:r>
      <w:r>
        <w:rPr>
          <w:sz w:val="22"/>
        </w:rPr>
        <w:t>Rheumatol.</w:t>
      </w:r>
      <w:r>
        <w:rPr>
          <w:spacing w:val="-6"/>
          <w:sz w:val="22"/>
        </w:rPr>
        <w:t> </w:t>
      </w:r>
      <w:r>
        <w:rPr>
          <w:sz w:val="22"/>
        </w:rPr>
        <w:t>2015;42(3):363-71.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0" w:lineRule="auto" w:before="1" w:after="0"/>
        <w:ind w:left="100" w:right="120" w:firstLine="0"/>
        <w:jc w:val="both"/>
        <w:rPr>
          <w:sz w:val="22"/>
        </w:rPr>
      </w:pPr>
      <w:r>
        <w:rPr>
          <w:w w:val="90"/>
          <w:sz w:val="22"/>
        </w:rPr>
        <w:t>Skármeta NP, Katzmann Rider G, Heir GM. Understanding the phenotypical representations of</w:t>
      </w:r>
      <w:r>
        <w:rPr>
          <w:spacing w:val="1"/>
          <w:w w:val="90"/>
          <w:sz w:val="22"/>
        </w:rPr>
        <w:t> </w:t>
      </w:r>
      <w:r>
        <w:rPr>
          <w:w w:val="95"/>
          <w:sz w:val="22"/>
        </w:rPr>
        <w:t>temporomandibular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osteoarthritis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for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effective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management.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J</w:t>
      </w:r>
      <w:r>
        <w:rPr>
          <w:spacing w:val="-10"/>
          <w:w w:val="95"/>
          <w:sz w:val="22"/>
        </w:rPr>
        <w:t> </w:t>
      </w:r>
      <w:r>
        <w:rPr>
          <w:w w:val="95"/>
          <w:sz w:val="22"/>
        </w:rPr>
        <w:t>Oral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Rehabil.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2021;48(1):106-7.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2" w:lineRule="auto" w:before="0" w:after="0"/>
        <w:ind w:left="100" w:right="116" w:firstLine="0"/>
        <w:jc w:val="both"/>
        <w:rPr>
          <w:sz w:val="22"/>
        </w:rPr>
      </w:pPr>
      <w:r>
        <w:rPr>
          <w:w w:val="85"/>
          <w:sz w:val="22"/>
        </w:rPr>
        <w:t>Januzzi E, Cunha TCA, Silva G, Souza BDM, Duarte ASB, Zanini MRS, et al. Viscosupplementation in</w:t>
      </w:r>
      <w:r>
        <w:rPr>
          <w:spacing w:val="1"/>
          <w:w w:val="85"/>
          <w:sz w:val="22"/>
        </w:rPr>
        <w:t> </w:t>
      </w:r>
      <w:r>
        <w:rPr>
          <w:w w:val="90"/>
          <w:sz w:val="22"/>
        </w:rPr>
        <w:t>the upper and lower compartments of the temporomandibular joint checked by ultrasonography in an ex</w:t>
      </w:r>
      <w:r>
        <w:rPr>
          <w:spacing w:val="1"/>
          <w:w w:val="90"/>
          <w:sz w:val="22"/>
        </w:rPr>
        <w:t> </w:t>
      </w:r>
      <w:r>
        <w:rPr>
          <w:sz w:val="22"/>
        </w:rPr>
        <w:t>vivo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vivo</w:t>
      </w:r>
      <w:r>
        <w:rPr>
          <w:spacing w:val="-4"/>
          <w:sz w:val="22"/>
        </w:rPr>
        <w:t> </w:t>
      </w:r>
      <w:r>
        <w:rPr>
          <w:sz w:val="22"/>
        </w:rPr>
        <w:t>study.</w:t>
      </w:r>
      <w:r>
        <w:rPr>
          <w:spacing w:val="-3"/>
          <w:sz w:val="22"/>
        </w:rPr>
        <w:t> </w:t>
      </w:r>
      <w:r>
        <w:rPr>
          <w:sz w:val="22"/>
        </w:rPr>
        <w:t>Sci</w:t>
      </w:r>
      <w:r>
        <w:rPr>
          <w:spacing w:val="-4"/>
          <w:sz w:val="22"/>
        </w:rPr>
        <w:t> </w:t>
      </w:r>
      <w:r>
        <w:rPr>
          <w:sz w:val="22"/>
        </w:rPr>
        <w:t>Rep.</w:t>
      </w:r>
      <w:r>
        <w:rPr>
          <w:spacing w:val="-4"/>
          <w:sz w:val="22"/>
        </w:rPr>
        <w:t> </w:t>
      </w:r>
      <w:r>
        <w:rPr>
          <w:sz w:val="22"/>
        </w:rPr>
        <w:t>2022;12(1):17976.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0" w:lineRule="auto" w:before="0" w:after="0"/>
        <w:ind w:left="100" w:right="115" w:firstLine="0"/>
        <w:jc w:val="both"/>
        <w:rPr>
          <w:sz w:val="22"/>
        </w:rPr>
      </w:pPr>
      <w:r>
        <w:rPr>
          <w:w w:val="90"/>
          <w:sz w:val="22"/>
        </w:rPr>
        <w:t>Honda K, Bjørnland T. Image-guided puncture technique for the superior temporomandibular joint</w:t>
      </w:r>
      <w:r>
        <w:rPr>
          <w:spacing w:val="1"/>
          <w:w w:val="90"/>
          <w:sz w:val="22"/>
        </w:rPr>
        <w:t> </w:t>
      </w:r>
      <w:r>
        <w:rPr>
          <w:spacing w:val="-1"/>
          <w:w w:val="95"/>
          <w:sz w:val="22"/>
        </w:rPr>
        <w:t>space:</w:t>
      </w:r>
      <w:r>
        <w:rPr>
          <w:spacing w:val="-8"/>
          <w:w w:val="95"/>
          <w:sz w:val="22"/>
        </w:rPr>
        <w:t> </w:t>
      </w:r>
      <w:r>
        <w:rPr>
          <w:spacing w:val="-1"/>
          <w:w w:val="95"/>
          <w:sz w:val="22"/>
        </w:rPr>
        <w:t>value</w:t>
      </w:r>
      <w:r>
        <w:rPr>
          <w:spacing w:val="-8"/>
          <w:w w:val="95"/>
          <w:sz w:val="22"/>
        </w:rPr>
        <w:t> </w:t>
      </w:r>
      <w:r>
        <w:rPr>
          <w:spacing w:val="-1"/>
          <w:w w:val="95"/>
          <w:sz w:val="22"/>
        </w:rPr>
        <w:t>of</w:t>
      </w:r>
      <w:r>
        <w:rPr>
          <w:spacing w:val="-7"/>
          <w:w w:val="95"/>
          <w:sz w:val="22"/>
        </w:rPr>
        <w:t> </w:t>
      </w:r>
      <w:r>
        <w:rPr>
          <w:spacing w:val="-1"/>
          <w:w w:val="95"/>
          <w:sz w:val="22"/>
        </w:rPr>
        <w:t>cone</w:t>
      </w:r>
      <w:r>
        <w:rPr>
          <w:spacing w:val="-7"/>
          <w:w w:val="95"/>
          <w:sz w:val="22"/>
        </w:rPr>
        <w:t> </w:t>
      </w:r>
      <w:r>
        <w:rPr>
          <w:spacing w:val="-1"/>
          <w:w w:val="95"/>
          <w:sz w:val="22"/>
        </w:rPr>
        <w:t>beam</w:t>
      </w:r>
      <w:r>
        <w:rPr>
          <w:spacing w:val="-10"/>
          <w:w w:val="95"/>
          <w:sz w:val="22"/>
        </w:rPr>
        <w:t> </w:t>
      </w:r>
      <w:r>
        <w:rPr>
          <w:spacing w:val="-1"/>
          <w:w w:val="95"/>
          <w:sz w:val="22"/>
        </w:rPr>
        <w:t>computed</w:t>
      </w:r>
      <w:r>
        <w:rPr>
          <w:spacing w:val="-7"/>
          <w:w w:val="95"/>
          <w:sz w:val="22"/>
        </w:rPr>
        <w:t> </w:t>
      </w:r>
      <w:r>
        <w:rPr>
          <w:spacing w:val="-1"/>
          <w:w w:val="95"/>
          <w:sz w:val="22"/>
        </w:rPr>
        <w:t>tomography</w:t>
      </w:r>
      <w:r>
        <w:rPr>
          <w:spacing w:val="-7"/>
          <w:w w:val="95"/>
          <w:sz w:val="22"/>
        </w:rPr>
        <w:t> </w:t>
      </w:r>
      <w:r>
        <w:rPr>
          <w:spacing w:val="-1"/>
          <w:w w:val="95"/>
          <w:sz w:val="22"/>
        </w:rPr>
        <w:t>(CBCT).</w:t>
      </w:r>
      <w:r>
        <w:rPr>
          <w:spacing w:val="-8"/>
          <w:w w:val="95"/>
          <w:sz w:val="22"/>
        </w:rPr>
        <w:t> </w:t>
      </w:r>
      <w:r>
        <w:rPr>
          <w:spacing w:val="-1"/>
          <w:w w:val="95"/>
          <w:sz w:val="22"/>
        </w:rPr>
        <w:t>Oral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Surg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Oral</w:t>
      </w:r>
      <w:r>
        <w:rPr>
          <w:spacing w:val="-6"/>
          <w:w w:val="95"/>
          <w:sz w:val="22"/>
        </w:rPr>
        <w:t> </w:t>
      </w:r>
      <w:r>
        <w:rPr>
          <w:w w:val="95"/>
          <w:sz w:val="22"/>
        </w:rPr>
        <w:t>Med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Oral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Pathol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Oral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Radiol</w:t>
      </w:r>
      <w:r>
        <w:rPr>
          <w:spacing w:val="-54"/>
          <w:w w:val="95"/>
          <w:sz w:val="22"/>
        </w:rPr>
        <w:t> </w:t>
      </w:r>
      <w:r>
        <w:rPr>
          <w:sz w:val="22"/>
        </w:rPr>
        <w:t>Endod.</w:t>
      </w:r>
      <w:r>
        <w:rPr>
          <w:spacing w:val="-1"/>
          <w:sz w:val="22"/>
        </w:rPr>
        <w:t> </w:t>
      </w:r>
      <w:r>
        <w:rPr>
          <w:sz w:val="22"/>
        </w:rPr>
        <w:t>2006;102(3):281-6.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0" w:lineRule="auto" w:before="0" w:after="0"/>
        <w:ind w:left="100" w:right="116" w:firstLine="0"/>
        <w:jc w:val="both"/>
        <w:rPr>
          <w:sz w:val="22"/>
        </w:rPr>
      </w:pPr>
      <w:r>
        <w:rPr>
          <w:w w:val="90"/>
          <w:sz w:val="22"/>
        </w:rPr>
        <w:t>Levorova J, Machon V, Hirjak D, Foltan R. Ultrasound-guided injection into the lower joint space of</w:t>
      </w:r>
      <w:r>
        <w:rPr>
          <w:spacing w:val="1"/>
          <w:w w:val="90"/>
          <w:sz w:val="22"/>
        </w:rPr>
        <w:t> </w:t>
      </w:r>
      <w:r>
        <w:rPr>
          <w:sz w:val="22"/>
        </w:rPr>
        <w:t>the</w:t>
      </w:r>
      <w:r>
        <w:rPr>
          <w:spacing w:val="-10"/>
          <w:sz w:val="22"/>
        </w:rPr>
        <w:t> </w:t>
      </w:r>
      <w:r>
        <w:rPr>
          <w:sz w:val="22"/>
        </w:rPr>
        <w:t>temporomandibular</w:t>
      </w:r>
      <w:r>
        <w:rPr>
          <w:spacing w:val="-8"/>
          <w:sz w:val="22"/>
        </w:rPr>
        <w:t> </w:t>
      </w:r>
      <w:r>
        <w:rPr>
          <w:sz w:val="22"/>
        </w:rPr>
        <w:t>joint.</w:t>
      </w:r>
      <w:r>
        <w:rPr>
          <w:spacing w:val="-9"/>
          <w:sz w:val="22"/>
        </w:rPr>
        <w:t> </w:t>
      </w:r>
      <w:r>
        <w:rPr>
          <w:sz w:val="22"/>
        </w:rPr>
        <w:t>Int</w:t>
      </w:r>
      <w:r>
        <w:rPr>
          <w:spacing w:val="-9"/>
          <w:sz w:val="22"/>
        </w:rPr>
        <w:t> </w:t>
      </w:r>
      <w:r>
        <w:rPr>
          <w:sz w:val="22"/>
        </w:rPr>
        <w:t>J</w:t>
      </w:r>
      <w:r>
        <w:rPr>
          <w:spacing w:val="-10"/>
          <w:sz w:val="22"/>
        </w:rPr>
        <w:t> </w:t>
      </w:r>
      <w:r>
        <w:rPr>
          <w:sz w:val="22"/>
        </w:rPr>
        <w:t>Oral</w:t>
      </w:r>
      <w:r>
        <w:rPr>
          <w:spacing w:val="-9"/>
          <w:sz w:val="22"/>
        </w:rPr>
        <w:t> </w:t>
      </w:r>
      <w:r>
        <w:rPr>
          <w:sz w:val="22"/>
        </w:rPr>
        <w:t>Maxillofac</w:t>
      </w:r>
      <w:r>
        <w:rPr>
          <w:spacing w:val="-10"/>
          <w:sz w:val="22"/>
        </w:rPr>
        <w:t> </w:t>
      </w:r>
      <w:r>
        <w:rPr>
          <w:sz w:val="22"/>
        </w:rPr>
        <w:t>Surg.</w:t>
      </w:r>
      <w:r>
        <w:rPr>
          <w:spacing w:val="-9"/>
          <w:sz w:val="22"/>
        </w:rPr>
        <w:t> </w:t>
      </w:r>
      <w:r>
        <w:rPr>
          <w:sz w:val="22"/>
        </w:rPr>
        <w:t>2015;44(4):491-2.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0" w:lineRule="auto" w:before="0" w:after="0"/>
        <w:ind w:left="100" w:right="115" w:firstLine="0"/>
        <w:jc w:val="both"/>
        <w:rPr>
          <w:sz w:val="22"/>
        </w:rPr>
      </w:pPr>
      <w:r>
        <w:rPr>
          <w:w w:val="90"/>
          <w:sz w:val="22"/>
        </w:rPr>
        <w:t>Li C, Long X, Deng M, Li J, Cai H, Meng Q. Osteoarthritic changes after superior and inferior joint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space injection of hyaluronic acid for the treatment of temporomandibular joint osteoarthritis with anterior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disc displacement without reduction: a cone-beam computed tomographic evaluation. J Oral Maxillofac</w:t>
      </w:r>
      <w:r>
        <w:rPr>
          <w:spacing w:val="1"/>
          <w:w w:val="90"/>
          <w:sz w:val="22"/>
        </w:rPr>
        <w:t> </w:t>
      </w:r>
      <w:r>
        <w:rPr>
          <w:sz w:val="22"/>
        </w:rPr>
        <w:t>Surg.</w:t>
      </w:r>
      <w:r>
        <w:rPr>
          <w:spacing w:val="-1"/>
          <w:sz w:val="22"/>
        </w:rPr>
        <w:t> </w:t>
      </w:r>
      <w:r>
        <w:rPr>
          <w:sz w:val="22"/>
        </w:rPr>
        <w:t>2015;73(2):232-44.</w:t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0" w:hanging="720"/>
        <w:jc w:val="left"/>
      </w:pPr>
      <w:rPr>
        <w:rFonts w:hint="default" w:ascii="Microsoft Sans Serif" w:hAnsi="Microsoft Sans Serif" w:eastAsia="Microsoft Sans Serif" w:cs="Microsoft Sans Serif"/>
        <w:w w:val="9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8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96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4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92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4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88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6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4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5"/>
      <w:ind w:left="220" w:right="6188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0" w:right="115"/>
      <w:jc w:val="both"/>
    </w:pPr>
    <w:rPr>
      <w:rFonts w:ascii="Microsoft Sans Serif" w:hAnsi="Microsoft Sans Serif" w:eastAsia="Microsoft Sans Serif" w:cs="Microsoft Sans Serif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hyperlink" Target="mailto:susanaperdigoto1@gmail.com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2023-05-27T04:32:46Z</dcterms:created>
  <dcterms:modified xsi:type="dcterms:W3CDTF">2023-05-27T04:32:46Z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2023-05-27T00:00:00Z</vt:filetime>
  </property>
</Properties>
</file>