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/>
        <w:ind w:left="3741" w:right="1373" w:hanging="1530"/>
        <w:jc w:val="left"/>
        <w:rPr>
          <w:rFonts w:ascii="Cambria"/>
          <w:b/>
          <w:sz w:val="28"/>
        </w:rPr>
      </w:pPr>
      <w:r>
        <w:rPr>
          <w:rFonts w:ascii="Cambria"/>
          <w:b/>
          <w:sz w:val="28"/>
        </w:rPr>
        <w:t>22</w:t>
      </w:r>
      <w:r>
        <w:rPr>
          <w:rFonts w:ascii="Cambria"/>
          <w:b/>
          <w:position w:val="7"/>
          <w:sz w:val="18"/>
        </w:rPr>
        <w:t>nd</w:t>
      </w:r>
      <w:r>
        <w:rPr>
          <w:rFonts w:ascii="Cambria"/>
          <w:b/>
          <w:spacing w:val="19"/>
          <w:position w:val="7"/>
          <w:sz w:val="18"/>
        </w:rPr>
        <w:t> </w:t>
      </w:r>
      <w:r>
        <w:rPr>
          <w:rFonts w:ascii="Cambria"/>
          <w:b/>
          <w:sz w:val="28"/>
        </w:rPr>
        <w:t>Asia</w:t>
      </w:r>
      <w:r>
        <w:rPr>
          <w:rFonts w:ascii="Cambria"/>
          <w:b/>
          <w:spacing w:val="-3"/>
          <w:sz w:val="28"/>
        </w:rPr>
        <w:t> </w:t>
      </w:r>
      <w:r>
        <w:rPr>
          <w:rFonts w:ascii="Cambria"/>
          <w:b/>
          <w:sz w:val="28"/>
        </w:rPr>
        <w:t>Pacific</w:t>
      </w:r>
      <w:r>
        <w:rPr>
          <w:rFonts w:ascii="Cambria"/>
          <w:b/>
          <w:spacing w:val="-3"/>
          <w:sz w:val="28"/>
        </w:rPr>
        <w:t> </w:t>
      </w:r>
      <w:r>
        <w:rPr>
          <w:rFonts w:ascii="Cambria"/>
          <w:b/>
          <w:sz w:val="28"/>
        </w:rPr>
        <w:t>Ophthalmologists</w:t>
      </w:r>
      <w:r>
        <w:rPr>
          <w:rFonts w:ascii="Cambria"/>
          <w:b/>
          <w:spacing w:val="-5"/>
          <w:sz w:val="28"/>
        </w:rPr>
        <w:t> </w:t>
      </w:r>
      <w:r>
        <w:rPr>
          <w:rFonts w:ascii="Cambria"/>
          <w:b/>
          <w:sz w:val="28"/>
        </w:rPr>
        <w:t>Annual</w:t>
      </w:r>
      <w:r>
        <w:rPr>
          <w:rFonts w:ascii="Cambria"/>
          <w:b/>
          <w:spacing w:val="-5"/>
          <w:sz w:val="28"/>
        </w:rPr>
        <w:t> </w:t>
      </w:r>
      <w:r>
        <w:rPr>
          <w:rFonts w:ascii="Cambria"/>
          <w:b/>
          <w:sz w:val="28"/>
        </w:rPr>
        <w:t>Meeting</w:t>
      </w:r>
      <w:r>
        <w:rPr>
          <w:rFonts w:ascii="Cambria"/>
          <w:b/>
          <w:spacing w:val="-59"/>
          <w:sz w:val="28"/>
        </w:rPr>
        <w:t> </w:t>
      </w:r>
      <w:r>
        <w:rPr>
          <w:rFonts w:ascii="Cambria"/>
          <w:b/>
          <w:sz w:val="28"/>
        </w:rPr>
        <w:t>August 28-29</w:t>
      </w:r>
      <w:r>
        <w:rPr>
          <w:rFonts w:ascii="Cambria"/>
          <w:b/>
          <w:spacing w:val="-2"/>
          <w:sz w:val="28"/>
        </w:rPr>
        <w:t> </w:t>
      </w:r>
      <w:r>
        <w:rPr>
          <w:rFonts w:ascii="Cambria"/>
          <w:b/>
          <w:sz w:val="28"/>
        </w:rPr>
        <w:t>Tokyo, Japan</w:t>
      </w:r>
    </w:p>
    <w:p>
      <w:pPr>
        <w:pStyle w:val="BodyText"/>
        <w:rPr>
          <w:rFonts w:ascii="Cambria"/>
          <w:b/>
          <w:sz w:val="32"/>
        </w:rPr>
      </w:pPr>
    </w:p>
    <w:p>
      <w:pPr>
        <w:pStyle w:val="BodyText"/>
        <w:spacing w:before="10"/>
        <w:rPr>
          <w:rFonts w:ascii="Cambria"/>
          <w:b/>
          <w:sz w:val="30"/>
        </w:rPr>
      </w:pPr>
    </w:p>
    <w:p>
      <w:pPr>
        <w:pStyle w:val="Title"/>
        <w:spacing w:line="228" w:lineRule="auto"/>
      </w:pPr>
      <w:r>
        <w:rPr>
          <w:color w:val="3379B7"/>
        </w:rPr>
        <w:t>Decellularized</w:t>
      </w:r>
      <w:r>
        <w:rPr>
          <w:color w:val="3379B7"/>
          <w:spacing w:val="-18"/>
        </w:rPr>
        <w:t> </w:t>
      </w:r>
      <w:r>
        <w:rPr>
          <w:color w:val="3379B7"/>
        </w:rPr>
        <w:t>dehydrated</w:t>
      </w:r>
      <w:r>
        <w:rPr>
          <w:color w:val="3379B7"/>
          <w:spacing w:val="-18"/>
        </w:rPr>
        <w:t> </w:t>
      </w:r>
      <w:r>
        <w:rPr>
          <w:color w:val="3379B7"/>
        </w:rPr>
        <w:t>human</w:t>
      </w:r>
      <w:r>
        <w:rPr>
          <w:color w:val="3379B7"/>
          <w:spacing w:val="-17"/>
        </w:rPr>
        <w:t> </w:t>
      </w:r>
      <w:r>
        <w:rPr>
          <w:color w:val="3379B7"/>
        </w:rPr>
        <w:t>amniotic</w:t>
      </w:r>
      <w:r>
        <w:rPr>
          <w:color w:val="3379B7"/>
          <w:spacing w:val="-17"/>
        </w:rPr>
        <w:t> </w:t>
      </w:r>
      <w:r>
        <w:rPr>
          <w:color w:val="3379B7"/>
        </w:rPr>
        <w:t>membrane</w:t>
      </w:r>
      <w:r>
        <w:rPr>
          <w:color w:val="3379B7"/>
          <w:spacing w:val="-18"/>
        </w:rPr>
        <w:t> </w:t>
      </w:r>
      <w:r>
        <w:rPr>
          <w:color w:val="3379B7"/>
        </w:rPr>
        <w:t>promotes</w:t>
      </w:r>
      <w:r>
        <w:rPr>
          <w:color w:val="3379B7"/>
          <w:spacing w:val="-77"/>
        </w:rPr>
        <w:t> </w:t>
      </w:r>
      <w:r>
        <w:rPr>
          <w:color w:val="3379B7"/>
        </w:rPr>
        <w:t>growth</w:t>
      </w:r>
      <w:r>
        <w:rPr>
          <w:color w:val="3379B7"/>
          <w:spacing w:val="1"/>
        </w:rPr>
        <w:t> </w:t>
      </w:r>
      <w:r>
        <w:rPr>
          <w:color w:val="3379B7"/>
        </w:rPr>
        <w:t>of</w:t>
      </w:r>
      <w:r>
        <w:rPr>
          <w:color w:val="3379B7"/>
          <w:spacing w:val="1"/>
        </w:rPr>
        <w:t> </w:t>
      </w:r>
      <w:r>
        <w:rPr>
          <w:color w:val="3379B7"/>
        </w:rPr>
        <w:t>human</w:t>
      </w:r>
      <w:r>
        <w:rPr>
          <w:color w:val="3379B7"/>
          <w:spacing w:val="1"/>
        </w:rPr>
        <w:t> </w:t>
      </w:r>
      <w:r>
        <w:rPr>
          <w:color w:val="3379B7"/>
        </w:rPr>
        <w:t>corneal</w:t>
      </w:r>
      <w:r>
        <w:rPr>
          <w:color w:val="3379B7"/>
          <w:spacing w:val="1"/>
        </w:rPr>
        <w:t> </w:t>
      </w:r>
      <w:r>
        <w:rPr>
          <w:color w:val="3379B7"/>
        </w:rPr>
        <w:t>epithelial</w:t>
      </w:r>
      <w:r>
        <w:rPr>
          <w:color w:val="3379B7"/>
          <w:spacing w:val="1"/>
        </w:rPr>
        <w:t> </w:t>
      </w:r>
      <w:r>
        <w:rPr>
          <w:color w:val="3379B7"/>
        </w:rPr>
        <w:t>cells</w:t>
      </w:r>
      <w:r>
        <w:rPr>
          <w:color w:val="3379B7"/>
          <w:spacing w:val="1"/>
        </w:rPr>
        <w:t> </w:t>
      </w:r>
      <w:r>
        <w:rPr>
          <w:color w:val="3379B7"/>
        </w:rPr>
        <w:t>and</w:t>
      </w:r>
      <w:r>
        <w:rPr>
          <w:color w:val="3379B7"/>
          <w:spacing w:val="1"/>
        </w:rPr>
        <w:t> </w:t>
      </w:r>
      <w:r>
        <w:rPr>
          <w:color w:val="3379B7"/>
        </w:rPr>
        <w:t>reduces</w:t>
      </w:r>
      <w:r>
        <w:rPr>
          <w:color w:val="3379B7"/>
          <w:spacing w:val="1"/>
        </w:rPr>
        <w:t> </w:t>
      </w:r>
      <w:r>
        <w:rPr>
          <w:color w:val="3379B7"/>
        </w:rPr>
        <w:t>inflammatory</w:t>
      </w:r>
      <w:r>
        <w:rPr>
          <w:color w:val="3379B7"/>
          <w:spacing w:val="-2"/>
        </w:rPr>
        <w:t> </w:t>
      </w:r>
      <w:r>
        <w:rPr>
          <w:color w:val="3379B7"/>
        </w:rPr>
        <w:t>response</w:t>
      </w:r>
      <w:r>
        <w:rPr>
          <w:color w:val="3379B7"/>
          <w:spacing w:val="3"/>
        </w:rPr>
        <w:t> </w:t>
      </w:r>
      <w:r>
        <w:rPr>
          <w:color w:val="3379B7"/>
        </w:rPr>
        <w:t>in</w:t>
      </w:r>
      <w:r>
        <w:rPr>
          <w:color w:val="3379B7"/>
          <w:spacing w:val="-1"/>
        </w:rPr>
        <w:t> </w:t>
      </w:r>
      <w:r>
        <w:rPr>
          <w:color w:val="3379B7"/>
        </w:rPr>
        <w:t>vitro</w:t>
      </w:r>
      <w:r>
        <w:rPr>
          <w:color w:val="3379B7"/>
          <w:spacing w:val="-3"/>
        </w:rPr>
        <w:t> </w:t>
      </w:r>
      <w:r>
        <w:rPr>
          <w:color w:val="3379B7"/>
        </w:rPr>
        <w:t>and</w:t>
      </w:r>
      <w:r>
        <w:rPr>
          <w:color w:val="3379B7"/>
          <w:spacing w:val="-1"/>
        </w:rPr>
        <w:t> </w:t>
      </w:r>
      <w:r>
        <w:rPr>
          <w:color w:val="3379B7"/>
        </w:rPr>
        <w:t>a</w:t>
      </w:r>
      <w:r>
        <w:rPr>
          <w:color w:val="3379B7"/>
          <w:spacing w:val="-2"/>
        </w:rPr>
        <w:t> </w:t>
      </w:r>
      <w:r>
        <w:rPr>
          <w:color w:val="3379B7"/>
        </w:rPr>
        <w:t>clinical</w:t>
      </w:r>
      <w:r>
        <w:rPr>
          <w:color w:val="3379B7"/>
          <w:spacing w:val="-3"/>
        </w:rPr>
        <w:t> </w:t>
      </w:r>
      <w:r>
        <w:rPr>
          <w:color w:val="3379B7"/>
        </w:rPr>
        <w:t>case</w:t>
      </w:r>
      <w:r>
        <w:rPr>
          <w:color w:val="3379B7"/>
          <w:spacing w:val="-1"/>
        </w:rPr>
        <w:t> </w:t>
      </w:r>
      <w:r>
        <w:rPr>
          <w:color w:val="3379B7"/>
        </w:rPr>
        <w:t>study</w:t>
      </w:r>
    </w:p>
    <w:p>
      <w:pPr>
        <w:pStyle w:val="BodyText"/>
        <w:spacing w:line="228" w:lineRule="auto" w:before="73"/>
        <w:ind w:left="220" w:right="7238"/>
        <w:rPr>
          <w:rFonts w:ascii="Arial MT"/>
        </w:rPr>
      </w:pPr>
      <w:r>
        <w:rPr>
          <w:rFonts w:ascii="Arial MT"/>
        </w:rPr>
        <w:t>Anna Gosiewska, PhD, Celularity Inc., USA</w:t>
      </w:r>
      <w:r>
        <w:rPr>
          <w:rFonts w:ascii="Arial MT"/>
          <w:spacing w:val="-47"/>
        </w:rPr>
        <w:t> </w:t>
      </w:r>
      <w:r>
        <w:rPr>
          <w:rFonts w:ascii="Arial MT"/>
        </w:rPr>
        <w:t>Yong</w:t>
      </w:r>
      <w:r>
        <w:rPr>
          <w:rFonts w:ascii="Arial MT"/>
          <w:spacing w:val="-3"/>
        </w:rPr>
        <w:t> </w:t>
      </w:r>
      <w:r>
        <w:rPr>
          <w:rFonts w:ascii="Arial MT"/>
        </w:rPr>
        <w:t>Mao,</w:t>
      </w:r>
      <w:r>
        <w:rPr>
          <w:rFonts w:ascii="Arial MT"/>
          <w:spacing w:val="-1"/>
        </w:rPr>
        <w:t> </w:t>
      </w:r>
      <w:r>
        <w:rPr>
          <w:rFonts w:ascii="Arial MT"/>
        </w:rPr>
        <w:t>PhD,</w:t>
      </w:r>
      <w:r>
        <w:rPr>
          <w:rFonts w:ascii="Arial MT"/>
          <w:spacing w:val="-1"/>
        </w:rPr>
        <w:t> </w:t>
      </w:r>
      <w:r>
        <w:rPr>
          <w:rFonts w:ascii="Arial MT"/>
        </w:rPr>
        <w:t>Rutgers University,</w:t>
      </w:r>
      <w:r>
        <w:rPr>
          <w:rFonts w:ascii="Arial MT"/>
          <w:spacing w:val="-1"/>
        </w:rPr>
        <w:t> </w:t>
      </w:r>
      <w:r>
        <w:rPr>
          <w:rFonts w:ascii="Arial MT"/>
        </w:rPr>
        <w:t>USA</w:t>
      </w:r>
    </w:p>
    <w:p>
      <w:pPr>
        <w:pStyle w:val="BodyText"/>
        <w:spacing w:line="228" w:lineRule="auto" w:before="3"/>
        <w:ind w:left="220" w:right="6118"/>
        <w:rPr>
          <w:rFonts w:ascii="Arial MT"/>
        </w:rPr>
      </w:pPr>
      <w:r>
        <w:rPr>
          <w:rFonts w:ascii="Arial MT"/>
        </w:rPr>
        <w:t>Nicole M. Protzman, MS, Healthcare Analytics, LLC, USA</w:t>
      </w:r>
      <w:r>
        <w:rPr>
          <w:rFonts w:ascii="Arial MT"/>
          <w:spacing w:val="-47"/>
        </w:rPr>
        <w:t> </w:t>
      </w:r>
      <w:r>
        <w:rPr>
          <w:rFonts w:ascii="Arial MT"/>
        </w:rPr>
        <w:t>Nikita</w:t>
      </w:r>
      <w:r>
        <w:rPr>
          <w:rFonts w:ascii="Arial MT"/>
          <w:spacing w:val="-3"/>
        </w:rPr>
        <w:t> </w:t>
      </w:r>
      <w:r>
        <w:rPr>
          <w:rFonts w:ascii="Arial MT"/>
        </w:rPr>
        <w:t>John, BS,</w:t>
      </w:r>
      <w:r>
        <w:rPr>
          <w:rFonts w:ascii="Arial MT"/>
          <w:spacing w:val="-3"/>
        </w:rPr>
        <w:t> </w:t>
      </w:r>
      <w:r>
        <w:rPr>
          <w:rFonts w:ascii="Arial MT"/>
        </w:rPr>
        <w:t>Rutgers</w:t>
      </w:r>
      <w:r>
        <w:rPr>
          <w:rFonts w:ascii="Arial MT"/>
          <w:spacing w:val="1"/>
        </w:rPr>
        <w:t> </w:t>
      </w:r>
      <w:r>
        <w:rPr>
          <w:rFonts w:ascii="Arial MT"/>
        </w:rPr>
        <w:t>University,</w:t>
      </w:r>
      <w:r>
        <w:rPr>
          <w:rFonts w:ascii="Arial MT"/>
          <w:spacing w:val="-1"/>
        </w:rPr>
        <w:t> </w:t>
      </w:r>
      <w:r>
        <w:rPr>
          <w:rFonts w:ascii="Arial MT"/>
        </w:rPr>
        <w:t>USA</w:t>
      </w:r>
    </w:p>
    <w:p>
      <w:pPr>
        <w:pStyle w:val="BodyText"/>
        <w:spacing w:line="230" w:lineRule="auto" w:before="1"/>
        <w:ind w:left="220" w:right="7238"/>
        <w:rPr>
          <w:rFonts w:ascii="Arial MT"/>
        </w:rPr>
      </w:pPr>
      <w:r>
        <w:rPr>
          <w:rFonts w:ascii="Arial MT"/>
        </w:rPr>
        <w:t>Adam Kuehn, MD, Celularity Inc., USA</w:t>
      </w:r>
      <w:r>
        <w:rPr>
          <w:rFonts w:ascii="Arial MT"/>
          <w:spacing w:val="1"/>
        </w:rPr>
        <w:t> </w:t>
      </w:r>
      <w:r>
        <w:rPr>
          <w:rFonts w:ascii="Arial MT"/>
        </w:rPr>
        <w:t>Desiree Long, MBA, Celularity Inc., USA</w:t>
      </w:r>
      <w:r>
        <w:rPr>
          <w:rFonts w:ascii="Arial MT"/>
          <w:spacing w:val="1"/>
        </w:rPr>
        <w:t> </w:t>
      </w:r>
      <w:r>
        <w:rPr>
          <w:rFonts w:ascii="Arial MT"/>
        </w:rPr>
        <w:t>Raja</w:t>
      </w:r>
      <w:r>
        <w:rPr>
          <w:rFonts w:ascii="Arial MT"/>
          <w:spacing w:val="-3"/>
        </w:rPr>
        <w:t> </w:t>
      </w:r>
      <w:r>
        <w:rPr>
          <w:rFonts w:ascii="Arial MT"/>
        </w:rPr>
        <w:t>Sivalenka,</w:t>
      </w:r>
      <w:r>
        <w:rPr>
          <w:rFonts w:ascii="Arial MT"/>
          <w:spacing w:val="-2"/>
        </w:rPr>
        <w:t> </w:t>
      </w:r>
      <w:r>
        <w:rPr>
          <w:rFonts w:ascii="Arial MT"/>
        </w:rPr>
        <w:t>PhD,</w:t>
      </w:r>
      <w:r>
        <w:rPr>
          <w:rFonts w:ascii="Arial MT"/>
          <w:spacing w:val="-3"/>
        </w:rPr>
        <w:t> </w:t>
      </w:r>
      <w:r>
        <w:rPr>
          <w:rFonts w:ascii="Arial MT"/>
        </w:rPr>
        <w:t>Celularity</w:t>
      </w:r>
      <w:r>
        <w:rPr>
          <w:rFonts w:ascii="Arial MT"/>
          <w:spacing w:val="-1"/>
        </w:rPr>
        <w:t> </w:t>
      </w:r>
      <w:r>
        <w:rPr>
          <w:rFonts w:ascii="Arial MT"/>
        </w:rPr>
        <w:t>Inc,</w:t>
      </w:r>
      <w:r>
        <w:rPr>
          <w:rFonts w:ascii="Arial MT"/>
          <w:spacing w:val="-3"/>
        </w:rPr>
        <w:t> </w:t>
      </w:r>
      <w:r>
        <w:rPr>
          <w:rFonts w:ascii="Arial MT"/>
        </w:rPr>
        <w:t>USA</w:t>
      </w:r>
    </w:p>
    <w:p>
      <w:pPr>
        <w:pStyle w:val="BodyText"/>
        <w:spacing w:line="193" w:lineRule="exact"/>
        <w:ind w:left="220"/>
        <w:rPr>
          <w:rFonts w:ascii="Arial MT"/>
        </w:rPr>
      </w:pPr>
      <w:r>
        <w:rPr>
          <w:rFonts w:ascii="Arial MT"/>
        </w:rPr>
        <w:t>Radoslaw</w:t>
      </w:r>
      <w:r>
        <w:rPr>
          <w:rFonts w:ascii="Arial MT"/>
          <w:spacing w:val="-2"/>
        </w:rPr>
        <w:t> </w:t>
      </w:r>
      <w:r>
        <w:rPr>
          <w:rFonts w:ascii="Arial MT"/>
        </w:rPr>
        <w:t>A.</w:t>
      </w:r>
      <w:r>
        <w:rPr>
          <w:rFonts w:ascii="Arial MT"/>
          <w:spacing w:val="-3"/>
        </w:rPr>
        <w:t> </w:t>
      </w:r>
      <w:r>
        <w:rPr>
          <w:rFonts w:ascii="Arial MT"/>
        </w:rPr>
        <w:t>Junka,</w:t>
      </w:r>
      <w:r>
        <w:rPr>
          <w:rFonts w:ascii="Arial MT"/>
          <w:spacing w:val="-2"/>
        </w:rPr>
        <w:t> </w:t>
      </w:r>
      <w:r>
        <w:rPr>
          <w:rFonts w:ascii="Arial MT"/>
        </w:rPr>
        <w:t>PhD,</w:t>
      </w:r>
      <w:r>
        <w:rPr>
          <w:rFonts w:ascii="Arial MT"/>
          <w:spacing w:val="-1"/>
        </w:rPr>
        <w:t> </w:t>
      </w:r>
      <w:r>
        <w:rPr>
          <w:rFonts w:ascii="Arial MT"/>
        </w:rPr>
        <w:t>Celularity</w:t>
      </w:r>
      <w:r>
        <w:rPr>
          <w:rFonts w:ascii="Arial MT"/>
          <w:spacing w:val="-1"/>
        </w:rPr>
        <w:t> </w:t>
      </w:r>
      <w:r>
        <w:rPr>
          <w:rFonts w:ascii="Arial MT"/>
        </w:rPr>
        <w:t>Inc.,</w:t>
      </w:r>
      <w:r>
        <w:rPr>
          <w:rFonts w:ascii="Arial MT"/>
          <w:spacing w:val="-3"/>
        </w:rPr>
        <w:t> </w:t>
      </w:r>
      <w:r>
        <w:rPr>
          <w:rFonts w:ascii="Arial MT"/>
        </w:rPr>
        <w:t>USA</w:t>
      </w:r>
    </w:p>
    <w:p>
      <w:pPr>
        <w:pStyle w:val="BodyText"/>
        <w:spacing w:line="228" w:lineRule="auto" w:before="4"/>
        <w:ind w:left="220" w:right="6138"/>
        <w:rPr>
          <w:rFonts w:ascii="Arial MT"/>
        </w:rPr>
      </w:pPr>
      <w:r>
        <w:rPr>
          <w:rFonts w:ascii="Arial MT"/>
        </w:rPr>
        <w:t>Anish U. Shah, MD, Norwich Ophthalmology Group, USA</w:t>
      </w:r>
      <w:r>
        <w:rPr>
          <w:rFonts w:ascii="Arial MT"/>
          <w:spacing w:val="-47"/>
        </w:rPr>
        <w:t> </w:t>
      </w:r>
      <w:r>
        <w:rPr>
          <w:rFonts w:ascii="Arial MT"/>
        </w:rPr>
        <w:t>Robert</w:t>
      </w:r>
      <w:r>
        <w:rPr>
          <w:rFonts w:ascii="Arial MT"/>
          <w:spacing w:val="-3"/>
        </w:rPr>
        <w:t> </w:t>
      </w:r>
      <w:r>
        <w:rPr>
          <w:rFonts w:ascii="Arial MT"/>
        </w:rPr>
        <w:t>J. Hariri,</w:t>
      </w:r>
      <w:r>
        <w:rPr>
          <w:rFonts w:ascii="Arial MT"/>
          <w:spacing w:val="-2"/>
        </w:rPr>
        <w:t> </w:t>
      </w:r>
      <w:r>
        <w:rPr>
          <w:rFonts w:ascii="Arial MT"/>
        </w:rPr>
        <w:t>MD,</w:t>
      </w:r>
      <w:r>
        <w:rPr>
          <w:rFonts w:ascii="Arial MT"/>
          <w:spacing w:val="-1"/>
        </w:rPr>
        <w:t> </w:t>
      </w:r>
      <w:r>
        <w:rPr>
          <w:rFonts w:ascii="Arial MT"/>
        </w:rPr>
        <w:t>PhD, Celularity</w:t>
      </w:r>
      <w:r>
        <w:rPr>
          <w:rFonts w:ascii="Arial MT"/>
          <w:spacing w:val="1"/>
        </w:rPr>
        <w:t> </w:t>
      </w:r>
      <w:r>
        <w:rPr>
          <w:rFonts w:ascii="Arial MT"/>
        </w:rPr>
        <w:t>Inc.,</w:t>
      </w:r>
      <w:r>
        <w:rPr>
          <w:rFonts w:ascii="Arial MT"/>
          <w:spacing w:val="-3"/>
        </w:rPr>
        <w:t> </w:t>
      </w:r>
      <w:r>
        <w:rPr>
          <w:rFonts w:ascii="Arial MT"/>
        </w:rPr>
        <w:t>USA</w:t>
      </w:r>
    </w:p>
    <w:p>
      <w:pPr>
        <w:pStyle w:val="BodyText"/>
        <w:spacing w:line="201" w:lineRule="exact"/>
        <w:ind w:left="220"/>
        <w:rPr>
          <w:rFonts w:ascii="Arial MT"/>
        </w:rPr>
      </w:pPr>
      <w:r>
        <w:rPr>
          <w:rFonts w:ascii="Arial MT"/>
        </w:rPr>
        <w:t>Stephen</w:t>
      </w:r>
      <w:r>
        <w:rPr>
          <w:rFonts w:ascii="Arial MT"/>
          <w:spacing w:val="-2"/>
        </w:rPr>
        <w:t> </w:t>
      </w:r>
      <w:r>
        <w:rPr>
          <w:rFonts w:ascii="Arial MT"/>
        </w:rPr>
        <w:t>A.</w:t>
      </w:r>
      <w:r>
        <w:rPr>
          <w:rFonts w:ascii="Arial MT"/>
          <w:spacing w:val="-2"/>
        </w:rPr>
        <w:t> </w:t>
      </w:r>
      <w:r>
        <w:rPr>
          <w:rFonts w:ascii="Arial MT"/>
        </w:rPr>
        <w:t>Brigido,</w:t>
      </w:r>
      <w:r>
        <w:rPr>
          <w:rFonts w:ascii="Arial MT"/>
          <w:spacing w:val="-1"/>
        </w:rPr>
        <w:t> </w:t>
      </w:r>
      <w:r>
        <w:rPr>
          <w:rFonts w:ascii="Arial MT"/>
        </w:rPr>
        <w:t>DPM,</w:t>
      </w:r>
      <w:r>
        <w:rPr>
          <w:rFonts w:ascii="Arial MT"/>
          <w:spacing w:val="-4"/>
        </w:rPr>
        <w:t> </w:t>
      </w:r>
      <w:r>
        <w:rPr>
          <w:rFonts w:ascii="Arial MT"/>
        </w:rPr>
        <w:t>Celularity Inc.,</w:t>
      </w:r>
      <w:r>
        <w:rPr>
          <w:rFonts w:ascii="Arial MT"/>
          <w:spacing w:val="-4"/>
        </w:rPr>
        <w:t> </w:t>
      </w:r>
      <w:r>
        <w:rPr>
          <w:rFonts w:ascii="Arial MT"/>
        </w:rPr>
        <w:t>USA</w:t>
      </w:r>
    </w:p>
    <w:p>
      <w:pPr>
        <w:pStyle w:val="BodyText"/>
        <w:spacing w:before="5"/>
        <w:rPr>
          <w:rFonts w:ascii="Arial MT"/>
        </w:rPr>
      </w:pPr>
    </w:p>
    <w:p>
      <w:pPr>
        <w:spacing w:after="0"/>
        <w:rPr>
          <w:rFonts w:ascii="Arial MT"/>
        </w:rPr>
        <w:sectPr>
          <w:type w:val="continuous"/>
          <w:pgSz w:w="11920" w:h="16850"/>
          <w:pgMar w:top="920" w:bottom="280" w:left="500" w:right="480"/>
        </w:sectPr>
      </w:pPr>
    </w:p>
    <w:p>
      <w:pPr>
        <w:pStyle w:val="Heading1"/>
        <w:spacing w:before="165"/>
        <w:ind w:left="220"/>
        <w:jc w:val="both"/>
      </w:pPr>
      <w:r>
        <w:rPr>
          <w:color w:val="BE5A13"/>
        </w:rPr>
        <w:t>Abstract</w:t>
      </w:r>
      <w:r>
        <w:rPr>
          <w:color w:val="BE5A13"/>
          <w:spacing w:val="-2"/>
        </w:rPr>
        <w:t> </w:t>
      </w:r>
      <w:r>
        <w:rPr>
          <w:color w:val="BE5A13"/>
        </w:rPr>
        <w:t>(300</w:t>
      </w:r>
      <w:r>
        <w:rPr>
          <w:color w:val="BE5A13"/>
          <w:spacing w:val="-3"/>
        </w:rPr>
        <w:t> </w:t>
      </w:r>
      <w:r>
        <w:rPr>
          <w:color w:val="BE5A13"/>
        </w:rPr>
        <w:t>word limit)</w:t>
      </w:r>
    </w:p>
    <w:p>
      <w:pPr>
        <w:pStyle w:val="BodyText"/>
        <w:spacing w:line="268" w:lineRule="auto" w:before="77"/>
        <w:ind w:left="220"/>
        <w:jc w:val="both"/>
      </w:pPr>
      <w:r>
        <w:rPr>
          <w:rFonts w:ascii="Arial"/>
          <w:b/>
          <w:w w:val="90"/>
        </w:rPr>
        <w:t>Statement of the Problem: </w:t>
      </w:r>
      <w:r>
        <w:rPr>
          <w:w w:val="90"/>
        </w:rPr>
        <w:t>Amniotic membrane (AM) is a naturally</w:t>
      </w:r>
      <w:r>
        <w:rPr>
          <w:spacing w:val="1"/>
          <w:w w:val="90"/>
        </w:rPr>
        <w:t> </w:t>
      </w:r>
      <w:r>
        <w:rPr>
          <w:w w:val="90"/>
        </w:rPr>
        <w:t>derived biomaterial with unique biological and mechanical properties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rendering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it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suitable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for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ophthalmic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application.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purpose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this</w:t>
      </w:r>
      <w:r>
        <w:rPr>
          <w:spacing w:val="-5"/>
          <w:w w:val="90"/>
        </w:rPr>
        <w:t> </w:t>
      </w:r>
      <w:r>
        <w:rPr>
          <w:w w:val="90"/>
        </w:rPr>
        <w:t>study</w:t>
      </w:r>
      <w:r>
        <w:rPr>
          <w:spacing w:val="-41"/>
          <w:w w:val="90"/>
        </w:rPr>
        <w:t> </w:t>
      </w:r>
      <w:r>
        <w:rPr>
          <w:w w:val="95"/>
        </w:rPr>
        <w:t>was to evaluate differences in tissue processing and the effects of</w:t>
      </w:r>
      <w:r>
        <w:rPr>
          <w:spacing w:val="1"/>
          <w:w w:val="95"/>
        </w:rPr>
        <w:t> </w:t>
      </w:r>
      <w:r>
        <w:rPr>
          <w:spacing w:val="-1"/>
          <w:w w:val="90"/>
        </w:rPr>
        <w:t>sidedness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(epithelial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[E]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and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stromal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[S])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on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human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corneal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epithelial</w:t>
      </w:r>
      <w:r>
        <w:rPr>
          <w:spacing w:val="-3"/>
          <w:w w:val="90"/>
        </w:rPr>
        <w:t> </w:t>
      </w:r>
      <w:r>
        <w:rPr>
          <w:w w:val="90"/>
        </w:rPr>
        <w:t>cell</w:t>
      </w:r>
      <w:r>
        <w:rPr>
          <w:spacing w:val="-40"/>
          <w:w w:val="90"/>
        </w:rPr>
        <w:t> </w:t>
      </w:r>
      <w:r>
        <w:rPr>
          <w:w w:val="90"/>
        </w:rPr>
        <w:t>(HCEC) activity and the effect of processing on HCEC inflammatory</w:t>
      </w:r>
      <w:r>
        <w:rPr>
          <w:spacing w:val="1"/>
          <w:w w:val="90"/>
        </w:rPr>
        <w:t> </w:t>
      </w:r>
      <w:r>
        <w:rPr/>
        <w:t>response.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case</w:t>
      </w:r>
      <w:r>
        <w:rPr>
          <w:spacing w:val="-7"/>
        </w:rPr>
        <w:t> </w:t>
      </w:r>
      <w:r>
        <w:rPr/>
        <w:t>study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/>
        <w:t>also</w:t>
      </w:r>
      <w:r>
        <w:rPr>
          <w:spacing w:val="-5"/>
        </w:rPr>
        <w:t> </w:t>
      </w:r>
      <w:r>
        <w:rPr/>
        <w:t>presented.</w:t>
      </w:r>
    </w:p>
    <w:p>
      <w:pPr>
        <w:pStyle w:val="BodyText"/>
        <w:spacing w:line="268" w:lineRule="auto" w:before="91"/>
        <w:ind w:left="220"/>
        <w:jc w:val="both"/>
      </w:pPr>
      <w:r>
        <w:rPr>
          <w:rFonts w:ascii="Arial"/>
          <w:b/>
          <w:w w:val="90"/>
        </w:rPr>
        <w:t>Methodology &amp; Theoretical Orientation: </w:t>
      </w:r>
      <w:r>
        <w:rPr>
          <w:w w:val="90"/>
        </w:rPr>
        <w:t>Three differently processed</w:t>
      </w:r>
      <w:r>
        <w:rPr>
          <w:spacing w:val="1"/>
          <w:w w:val="90"/>
        </w:rPr>
        <w:t> </w:t>
      </w:r>
      <w:r>
        <w:rPr>
          <w:w w:val="95"/>
        </w:rPr>
        <w:t>ocular AMs were compared </w:t>
      </w:r>
      <w:r>
        <w:rPr>
          <w:rFonts w:ascii="Arial"/>
          <w:i/>
          <w:w w:val="95"/>
        </w:rPr>
        <w:t>in vitro</w:t>
      </w:r>
      <w:r>
        <w:rPr>
          <w:w w:val="95"/>
        </w:rPr>
        <w:t>: (1) a decellularized dehydrated</w:t>
      </w:r>
      <w:r>
        <w:rPr>
          <w:spacing w:val="1"/>
          <w:w w:val="95"/>
        </w:rPr>
        <w:t> </w:t>
      </w:r>
      <w:r>
        <w:rPr>
          <w:w w:val="90"/>
        </w:rPr>
        <w:t>human AM (DDHAM); (2) a dehydrated human AM (DHAM); and (3) a</w:t>
      </w:r>
      <w:r>
        <w:rPr>
          <w:spacing w:val="1"/>
          <w:w w:val="90"/>
        </w:rPr>
        <w:t> </w:t>
      </w:r>
      <w:r>
        <w:rPr>
          <w:w w:val="85"/>
        </w:rPr>
        <w:t>cryopreserved human AM (CHAM). Dependent variables included HCEC</w:t>
      </w:r>
      <w:r>
        <w:rPr>
          <w:spacing w:val="1"/>
          <w:w w:val="85"/>
        </w:rPr>
        <w:t> </w:t>
      </w:r>
      <w:r>
        <w:rPr>
          <w:w w:val="90"/>
        </w:rPr>
        <w:t>adhesion, viability, migration, and inflammatory response. In a patient</w:t>
      </w:r>
      <w:r>
        <w:rPr>
          <w:spacing w:val="1"/>
          <w:w w:val="90"/>
        </w:rPr>
        <w:t> </w:t>
      </w:r>
      <w:r>
        <w:rPr>
          <w:w w:val="90"/>
        </w:rPr>
        <w:t>with anterior basement membrane dystrophy</w:t>
      </w:r>
      <w:r>
        <w:rPr>
          <w:spacing w:val="1"/>
          <w:w w:val="90"/>
        </w:rPr>
        <w:t> </w:t>
      </w:r>
      <w:r>
        <w:rPr>
          <w:w w:val="90"/>
        </w:rPr>
        <w:t>(AMBD), DDHAM was</w:t>
      </w:r>
      <w:r>
        <w:rPr>
          <w:spacing w:val="1"/>
          <w:w w:val="90"/>
        </w:rPr>
        <w:t> </w:t>
      </w:r>
      <w:r>
        <w:rPr>
          <w:w w:val="90"/>
        </w:rPr>
        <w:t>applied following debridement of the corneal epithelium and Bowman's</w:t>
      </w:r>
      <w:r>
        <w:rPr>
          <w:spacing w:val="1"/>
          <w:w w:val="90"/>
        </w:rPr>
        <w:t> </w:t>
      </w:r>
      <w:r>
        <w:rPr>
          <w:w w:val="95"/>
        </w:rPr>
        <w:t>membrane.</w:t>
      </w:r>
      <w:r>
        <w:rPr>
          <w:spacing w:val="-4"/>
          <w:w w:val="95"/>
        </w:rPr>
        <w:t> </w:t>
      </w:r>
      <w:r>
        <w:rPr>
          <w:w w:val="95"/>
        </w:rPr>
        <w:t>Corneal</w:t>
      </w:r>
      <w:r>
        <w:rPr>
          <w:spacing w:val="-4"/>
          <w:w w:val="95"/>
        </w:rPr>
        <w:t> </w:t>
      </w:r>
      <w:r>
        <w:rPr>
          <w:w w:val="95"/>
        </w:rPr>
        <w:t>healing</w:t>
      </w:r>
      <w:r>
        <w:rPr>
          <w:spacing w:val="-4"/>
          <w:w w:val="95"/>
        </w:rPr>
        <w:t> </w:t>
      </w:r>
      <w:r>
        <w:rPr>
          <w:w w:val="95"/>
        </w:rPr>
        <w:t>was</w:t>
      </w:r>
      <w:r>
        <w:rPr>
          <w:spacing w:val="-3"/>
          <w:w w:val="95"/>
        </w:rPr>
        <w:t> </w:t>
      </w:r>
      <w:r>
        <w:rPr>
          <w:w w:val="95"/>
        </w:rPr>
        <w:t>evaluated</w:t>
      </w:r>
      <w:r>
        <w:rPr>
          <w:spacing w:val="-4"/>
          <w:w w:val="95"/>
        </w:rPr>
        <w:t> </w:t>
      </w:r>
      <w:r>
        <w:rPr>
          <w:w w:val="95"/>
        </w:rPr>
        <w:t>over</w:t>
      </w:r>
      <w:r>
        <w:rPr>
          <w:spacing w:val="-3"/>
          <w:w w:val="95"/>
        </w:rPr>
        <w:t> </w:t>
      </w:r>
      <w:r>
        <w:rPr>
          <w:w w:val="95"/>
        </w:rPr>
        <w:t>time.</w:t>
      </w:r>
    </w:p>
    <w:p>
      <w:pPr>
        <w:pStyle w:val="BodyText"/>
        <w:spacing w:line="268" w:lineRule="auto" w:before="85"/>
        <w:ind w:left="220"/>
        <w:jc w:val="both"/>
      </w:pPr>
      <w:r>
        <w:rPr>
          <w:rFonts w:ascii="Arial" w:hAnsi="Arial"/>
          <w:b/>
          <w:w w:val="90"/>
        </w:rPr>
        <w:t>Findings: </w:t>
      </w:r>
      <w:r>
        <w:rPr>
          <w:w w:val="90"/>
        </w:rPr>
        <w:t>On day 1, cell viability was significantly higher on DDHAM-S</w:t>
      </w:r>
      <w:r>
        <w:rPr>
          <w:spacing w:val="1"/>
          <w:w w:val="90"/>
        </w:rPr>
        <w:t> </w:t>
      </w:r>
      <w:r>
        <w:rPr>
          <w:w w:val="90"/>
        </w:rPr>
        <w:t>than CHAM-S (p &lt; 0.001) and on DDHAM-E than CHAM-E and DHAM-</w:t>
      </w:r>
      <w:r>
        <w:rPr>
          <w:spacing w:val="-41"/>
          <w:w w:val="90"/>
        </w:rPr>
        <w:t> </w:t>
      </w:r>
      <w:r>
        <w:rPr>
          <w:w w:val="95"/>
        </w:rPr>
        <w:t>E</w:t>
      </w:r>
      <w:r>
        <w:rPr>
          <w:spacing w:val="-4"/>
          <w:w w:val="95"/>
        </w:rPr>
        <w:t> </w:t>
      </w:r>
      <w:r>
        <w:rPr>
          <w:w w:val="95"/>
        </w:rPr>
        <w:t>(p</w:t>
      </w:r>
      <w:r>
        <w:rPr>
          <w:spacing w:val="-3"/>
          <w:w w:val="95"/>
        </w:rPr>
        <w:t> </w:t>
      </w:r>
      <w:r>
        <w:rPr>
          <w:w w:val="95"/>
        </w:rPr>
        <w:t>≤</w:t>
      </w:r>
      <w:r>
        <w:rPr>
          <w:spacing w:val="-4"/>
          <w:w w:val="95"/>
        </w:rPr>
        <w:t> </w:t>
      </w:r>
      <w:r>
        <w:rPr>
          <w:w w:val="95"/>
        </w:rPr>
        <w:t>0.001).</w:t>
      </w:r>
      <w:r>
        <w:rPr>
          <w:spacing w:val="-3"/>
          <w:w w:val="95"/>
        </w:rPr>
        <w:t> </w:t>
      </w:r>
      <w:r>
        <w:rPr>
          <w:w w:val="95"/>
        </w:rPr>
        <w:t>On</w:t>
      </w:r>
      <w:r>
        <w:rPr>
          <w:spacing w:val="-3"/>
          <w:w w:val="95"/>
        </w:rPr>
        <w:t> </w:t>
      </w:r>
      <w:r>
        <w:rPr>
          <w:w w:val="95"/>
        </w:rPr>
        <w:t>day</w:t>
      </w:r>
      <w:r>
        <w:rPr>
          <w:spacing w:val="-2"/>
          <w:w w:val="95"/>
        </w:rPr>
        <w:t> </w:t>
      </w:r>
      <w:r>
        <w:rPr>
          <w:w w:val="95"/>
        </w:rPr>
        <w:t>4,</w:t>
      </w:r>
      <w:r>
        <w:rPr>
          <w:spacing w:val="-3"/>
          <w:w w:val="95"/>
        </w:rPr>
        <w:t> </w:t>
      </w:r>
      <w:r>
        <w:rPr>
          <w:w w:val="95"/>
        </w:rPr>
        <w:t>relative</w:t>
      </w:r>
      <w:r>
        <w:rPr>
          <w:spacing w:val="-2"/>
          <w:w w:val="95"/>
        </w:rPr>
        <w:t> </w:t>
      </w:r>
      <w:r>
        <w:rPr>
          <w:w w:val="95"/>
        </w:rPr>
        <w:t>cell</w:t>
      </w:r>
      <w:r>
        <w:rPr>
          <w:spacing w:val="-4"/>
          <w:w w:val="95"/>
        </w:rPr>
        <w:t> </w:t>
      </w:r>
      <w:r>
        <w:rPr>
          <w:w w:val="95"/>
        </w:rPr>
        <w:t>viability</w:t>
      </w:r>
      <w:r>
        <w:rPr>
          <w:spacing w:val="-2"/>
          <w:w w:val="95"/>
        </w:rPr>
        <w:t> </w:t>
      </w:r>
      <w:r>
        <w:rPr>
          <w:w w:val="95"/>
        </w:rPr>
        <w:t>was</w:t>
      </w:r>
      <w:r>
        <w:rPr>
          <w:spacing w:val="-3"/>
          <w:w w:val="95"/>
        </w:rPr>
        <w:t> </w:t>
      </w:r>
      <w:r>
        <w:rPr>
          <w:w w:val="95"/>
        </w:rPr>
        <w:t>significantly</w:t>
      </w:r>
      <w:r>
        <w:rPr>
          <w:spacing w:val="-3"/>
          <w:w w:val="95"/>
        </w:rPr>
        <w:t> </w:t>
      </w:r>
      <w:r>
        <w:rPr>
          <w:w w:val="95"/>
        </w:rPr>
        <w:t>higher</w:t>
      </w:r>
      <w:r>
        <w:rPr>
          <w:spacing w:val="-43"/>
          <w:w w:val="95"/>
        </w:rPr>
        <w:t> </w:t>
      </w:r>
      <w:r>
        <w:rPr>
          <w:w w:val="90"/>
        </w:rPr>
        <w:t>on DDHAM-S than DDHAM-E and CHAM-S (p &lt; 0.001) and on DHAM-</w:t>
      </w:r>
      <w:r>
        <w:rPr>
          <w:spacing w:val="1"/>
          <w:w w:val="90"/>
        </w:rPr>
        <w:t> </w:t>
      </w:r>
      <w:r>
        <w:rPr>
          <w:w w:val="95"/>
        </w:rPr>
        <w:t>S than DHAM-E and CHAM-S (p &lt; 0.001). On day 7, relative cell</w:t>
      </w:r>
      <w:r>
        <w:rPr>
          <w:spacing w:val="1"/>
          <w:w w:val="95"/>
        </w:rPr>
        <w:t> </w:t>
      </w:r>
      <w:r>
        <w:rPr>
          <w:spacing w:val="-1"/>
          <w:w w:val="90"/>
        </w:rPr>
        <w:t>viability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was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significantly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higher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on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DDHAM-S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than</w:t>
      </w:r>
      <w:r>
        <w:rPr>
          <w:spacing w:val="-5"/>
          <w:w w:val="90"/>
        </w:rPr>
        <w:t> </w:t>
      </w:r>
      <w:r>
        <w:rPr>
          <w:w w:val="90"/>
        </w:rPr>
        <w:t>DHAM-S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CHAM-</w:t>
      </w:r>
      <w:r>
        <w:rPr>
          <w:spacing w:val="-40"/>
          <w:w w:val="90"/>
        </w:rPr>
        <w:t> </w:t>
      </w:r>
      <w:r>
        <w:rPr>
          <w:w w:val="90"/>
        </w:rPr>
        <w:t>S (p ≤ 0.003) and on DHAM-S than DHAM-E (p &lt; 0.001). Migration was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significantly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lower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on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CHAM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than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on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DDHAM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and</w:t>
      </w:r>
      <w:r>
        <w:rPr>
          <w:spacing w:val="-7"/>
          <w:w w:val="95"/>
        </w:rPr>
        <w:t> </w:t>
      </w:r>
      <w:r>
        <w:rPr>
          <w:w w:val="95"/>
        </w:rPr>
        <w:t>DHAM</w:t>
      </w:r>
      <w:r>
        <w:rPr>
          <w:spacing w:val="-6"/>
          <w:w w:val="95"/>
        </w:rPr>
        <w:t> </w:t>
      </w:r>
      <w:r>
        <w:rPr>
          <w:w w:val="95"/>
        </w:rPr>
        <w:t>(p</w:t>
      </w:r>
      <w:r>
        <w:rPr>
          <w:spacing w:val="-7"/>
          <w:w w:val="95"/>
        </w:rPr>
        <w:t> </w:t>
      </w:r>
      <w:r>
        <w:rPr>
          <w:w w:val="95"/>
        </w:rPr>
        <w:t>≤</w:t>
      </w:r>
      <w:r>
        <w:rPr>
          <w:spacing w:val="-8"/>
          <w:w w:val="95"/>
        </w:rPr>
        <w:t> </w:t>
      </w:r>
      <w:r>
        <w:rPr>
          <w:w w:val="95"/>
        </w:rPr>
        <w:t>0.004).</w:t>
      </w:r>
      <w:r>
        <w:rPr>
          <w:spacing w:val="-43"/>
          <w:w w:val="95"/>
        </w:rPr>
        <w:t> </w:t>
      </w:r>
      <w:r>
        <w:rPr>
          <w:w w:val="90"/>
        </w:rPr>
        <w:t>DDHAM promoted an initial inflammatory response that decreased over</w:t>
      </w:r>
      <w:r>
        <w:rPr>
          <w:spacing w:val="-41"/>
          <w:w w:val="90"/>
        </w:rPr>
        <w:t> </w:t>
      </w:r>
      <w:r>
        <w:rPr>
          <w:w w:val="90"/>
        </w:rPr>
        <w:t>time. DDHAM application reverted the corneal surface to a smooth and</w:t>
      </w:r>
      <w:r>
        <w:rPr>
          <w:spacing w:val="1"/>
          <w:w w:val="90"/>
        </w:rPr>
        <w:t> </w:t>
      </w:r>
      <w:r>
        <w:rPr>
          <w:w w:val="90"/>
        </w:rPr>
        <w:t>normal state. One month postoperatively, the patient reported improved</w:t>
      </w:r>
      <w:r>
        <w:rPr>
          <w:spacing w:val="-41"/>
          <w:w w:val="90"/>
        </w:rPr>
        <w:t> </w:t>
      </w:r>
      <w:r>
        <w:rPr/>
        <w:t>comfort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activities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daily</w:t>
      </w:r>
      <w:r>
        <w:rPr>
          <w:spacing w:val="-1"/>
        </w:rPr>
        <w:t> </w:t>
      </w:r>
      <w:r>
        <w:rPr/>
        <w:t>living.</w:t>
      </w:r>
    </w:p>
    <w:p>
      <w:pPr>
        <w:pStyle w:val="BodyText"/>
        <w:spacing w:line="266" w:lineRule="auto" w:before="94"/>
        <w:ind w:left="220"/>
        <w:jc w:val="both"/>
      </w:pPr>
      <w:r>
        <w:rPr>
          <w:rFonts w:ascii="Arial"/>
          <w:b/>
          <w:w w:val="85"/>
        </w:rPr>
        <w:t>Conclusion &amp; Significance: </w:t>
      </w:r>
      <w:r>
        <w:rPr>
          <w:w w:val="85"/>
        </w:rPr>
        <w:t>Compared with DHAM and CHAM, DDHAM</w:t>
      </w:r>
      <w:r>
        <w:rPr>
          <w:spacing w:val="1"/>
          <w:w w:val="85"/>
        </w:rPr>
        <w:t> </w:t>
      </w:r>
      <w:r>
        <w:rPr>
          <w:w w:val="95"/>
        </w:rPr>
        <w:t>improved</w:t>
      </w:r>
      <w:r>
        <w:rPr>
          <w:spacing w:val="1"/>
          <w:w w:val="95"/>
        </w:rPr>
        <w:t> </w:t>
      </w:r>
      <w:r>
        <w:rPr>
          <w:w w:val="95"/>
        </w:rPr>
        <w:t>HCEC</w:t>
      </w:r>
      <w:r>
        <w:rPr>
          <w:spacing w:val="1"/>
          <w:w w:val="95"/>
        </w:rPr>
        <w:t> </w:t>
      </w:r>
      <w:r>
        <w:rPr>
          <w:w w:val="95"/>
        </w:rPr>
        <w:t>activity</w:t>
      </w:r>
      <w:r>
        <w:rPr>
          <w:spacing w:val="1"/>
          <w:w w:val="95"/>
        </w:rPr>
        <w:t> </w:t>
      </w:r>
      <w:r>
        <w:rPr>
          <w:rFonts w:ascii="Arial"/>
          <w:i/>
          <w:w w:val="95"/>
        </w:rPr>
        <w:t>in</w:t>
      </w:r>
      <w:r>
        <w:rPr>
          <w:rFonts w:ascii="Arial"/>
          <w:i/>
          <w:spacing w:val="1"/>
          <w:w w:val="95"/>
        </w:rPr>
        <w:t> </w:t>
      </w:r>
      <w:r>
        <w:rPr>
          <w:rFonts w:ascii="Arial"/>
          <w:i/>
          <w:w w:val="95"/>
        </w:rPr>
        <w:t>vitro</w:t>
      </w:r>
      <w:r>
        <w:rPr>
          <w:w w:val="95"/>
        </w:rPr>
        <w:t>,</w:t>
      </w:r>
      <w:r>
        <w:rPr>
          <w:spacing w:val="1"/>
          <w:w w:val="95"/>
        </w:rPr>
        <w:t> </w:t>
      </w:r>
      <w:r>
        <w:rPr>
          <w:w w:val="95"/>
        </w:rPr>
        <w:t>suggesting</w:t>
      </w:r>
      <w:r>
        <w:rPr>
          <w:spacing w:val="1"/>
          <w:w w:val="95"/>
        </w:rPr>
        <w:t> </w:t>
      </w:r>
      <w:r>
        <w:rPr>
          <w:w w:val="95"/>
        </w:rPr>
        <w:t>greater</w:t>
      </w:r>
      <w:r>
        <w:rPr>
          <w:spacing w:val="1"/>
          <w:w w:val="95"/>
        </w:rPr>
        <w:t> </w:t>
      </w:r>
      <w:r>
        <w:rPr>
          <w:w w:val="95"/>
        </w:rPr>
        <w:t>ocular</w:t>
      </w:r>
      <w:r>
        <w:rPr>
          <w:spacing w:val="1"/>
          <w:w w:val="95"/>
        </w:rPr>
        <w:t> </w:t>
      </w:r>
      <w:r>
        <w:rPr>
          <w:w w:val="95"/>
        </w:rPr>
        <w:t>cell</w:t>
      </w:r>
      <w:r>
        <w:rPr>
          <w:spacing w:val="1"/>
          <w:w w:val="95"/>
        </w:rPr>
        <w:t> </w:t>
      </w:r>
      <w:r>
        <w:rPr>
          <w:w w:val="85"/>
        </w:rPr>
        <w:t>compatibility </w:t>
      </w:r>
      <w:r>
        <w:rPr>
          <w:rFonts w:ascii="Arial"/>
          <w:i/>
          <w:w w:val="85"/>
        </w:rPr>
        <w:t>in vivo</w:t>
      </w:r>
      <w:r>
        <w:rPr>
          <w:w w:val="85"/>
        </w:rPr>
        <w:t>. Moreover, the case study demonstrated a successful</w:t>
      </w:r>
      <w:r>
        <w:rPr>
          <w:spacing w:val="1"/>
          <w:w w:val="85"/>
        </w:rPr>
        <w:t> </w:t>
      </w:r>
      <w:r>
        <w:rPr/>
        <w:t>treatment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ABMD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DDHAM.</w:t>
      </w:r>
    </w:p>
    <w:p>
      <w:pPr>
        <w:pStyle w:val="Heading1"/>
        <w:spacing w:before="93"/>
      </w:pPr>
      <w:r>
        <w:rPr>
          <w:b w:val="0"/>
        </w:rPr>
        <w:br w:type="column"/>
      </w:r>
      <w:r>
        <w:rPr>
          <w:color w:val="BE5A13"/>
        </w:rPr>
        <w:t>Image</w:t>
      </w:r>
    </w:p>
    <w:p>
      <w:pPr>
        <w:spacing w:before="61"/>
        <w:ind w:left="488" w:right="0" w:firstLine="0"/>
        <w:jc w:val="left"/>
        <w:rPr>
          <w:rFonts w:ascii="Calibri"/>
          <w:b/>
          <w:sz w:val="18"/>
        </w:rPr>
      </w:pPr>
      <w:r>
        <w:rPr/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4153654</wp:posOffset>
            </wp:positionH>
            <wp:positionV relativeFrom="paragraph">
              <wp:posOffset>129790</wp:posOffset>
            </wp:positionV>
            <wp:extent cx="2394229" cy="153439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229" cy="1534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w w:val="105"/>
          <w:sz w:val="18"/>
        </w:rPr>
        <w:t>(A)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3"/>
        <w:rPr>
          <w:rFonts w:ascii="Calibri"/>
          <w:b/>
          <w:sz w:val="22"/>
        </w:rPr>
      </w:pPr>
      <w:r>
        <w:rPr/>
        <w:pict>
          <v:group style="position:absolute;margin-left:312.169891pt;margin-top:15.527975pt;width:236.15pt;height:167.7pt;mso-position-horizontal-relative:page;mso-position-vertical-relative:paragraph;z-index:-15728640;mso-wrap-distance-left:0;mso-wrap-distance-right:0" coordorigin="6243,311" coordsize="4723,3354">
            <v:shape style="position:absolute;left:6243;top:310;width:4723;height:3354" type="#_x0000_t75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269;top:439;width:555;height:186" type="#_x0000_t202" filled="false" stroked="false">
              <v:textbox inset="0,0,0,0">
                <w:txbxContent>
                  <w:p>
                    <w:pPr>
                      <w:tabs>
                        <w:tab w:pos="534" w:val="left" w:leader="none"/>
                      </w:tabs>
                      <w:spacing w:line="185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w w:val="103"/>
                        <w:sz w:val="18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12"/>
                        <w:sz w:val="18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b/>
                        <w:w w:val="105"/>
                        <w:sz w:val="18"/>
                        <w:shd w:fill="FFFFFF" w:color="auto" w:val="clear"/>
                      </w:rPr>
                      <w:t>(B)</w:t>
                    </w:r>
                    <w:r>
                      <w:rPr>
                        <w:rFonts w:ascii="Calibri"/>
                        <w:b/>
                        <w:sz w:val="18"/>
                        <w:shd w:fill="FFFFFF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4"/>
        <w:ind w:left="197" w:right="197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Figure 1: </w:t>
      </w:r>
      <w:r>
        <w:rPr>
          <w:rFonts w:ascii="Calibri" w:hAnsi="Calibri"/>
          <w:sz w:val="16"/>
        </w:rPr>
        <w:t>Stromal side of DDHAM best supports HCEC viability over time. HCECs</w:t>
      </w:r>
      <w:r>
        <w:rPr>
          <w:rFonts w:ascii="Calibri" w:hAnsi="Calibri"/>
          <w:spacing w:val="-34"/>
          <w:sz w:val="16"/>
        </w:rPr>
        <w:t> </w:t>
      </w:r>
      <w:r>
        <w:rPr>
          <w:rFonts w:ascii="Calibri" w:hAnsi="Calibri"/>
          <w:sz w:val="16"/>
        </w:rPr>
        <w:t>were seeded onto the epithelial and stromal sides of AMs and incubated for 1,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4, and 7 days. Absolute cell viability on Day 1 is shown for the epithelial and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stromal sides of the three AMs (A). The relative cell viability, expressed as a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percentage of Day 1, is plotted over time for each side of the AMs (B). A three-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way analysis of variance with Tukey post hoc tests was conducted to examine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the effects of sidedness, AM, and time on relative cell viability. Significant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interactions were evaluated with simple main effects analysis with Sidak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correction for multiple comparisons. Comparisons between the epithelial and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stromal sides of each AM are shown and comparisons between the AMs for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each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side</w:t>
      </w:r>
      <w:r>
        <w:rPr>
          <w:rFonts w:ascii="Calibri" w:hAnsi="Calibri"/>
          <w:spacing w:val="-2"/>
          <w:sz w:val="16"/>
        </w:rPr>
        <w:t> </w:t>
      </w:r>
      <w:r>
        <w:rPr>
          <w:rFonts w:ascii="Calibri" w:hAnsi="Calibri"/>
          <w:sz w:val="16"/>
        </w:rPr>
        <w:t>are</w:t>
      </w:r>
      <w:r>
        <w:rPr>
          <w:rFonts w:ascii="Calibri" w:hAnsi="Calibri"/>
          <w:spacing w:val="1"/>
          <w:sz w:val="16"/>
        </w:rPr>
        <w:t> </w:t>
      </w:r>
      <w:r>
        <w:rPr>
          <w:rFonts w:ascii="Calibri" w:hAnsi="Calibri"/>
          <w:sz w:val="16"/>
        </w:rPr>
        <w:t>shown. Data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shown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are mean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±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SD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(n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=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4).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*p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≤</w:t>
      </w:r>
      <w:r>
        <w:rPr>
          <w:rFonts w:ascii="Calibri" w:hAnsi="Calibri"/>
          <w:spacing w:val="-1"/>
          <w:sz w:val="16"/>
        </w:rPr>
        <w:t> </w:t>
      </w:r>
      <w:r>
        <w:rPr>
          <w:rFonts w:ascii="Calibri" w:hAnsi="Calibri"/>
          <w:sz w:val="16"/>
        </w:rPr>
        <w:t>0.05.</w:t>
      </w:r>
    </w:p>
    <w:p>
      <w:pPr>
        <w:pStyle w:val="BodyText"/>
        <w:spacing w:before="10"/>
        <w:rPr>
          <w:rFonts w:ascii="Calibri"/>
          <w:sz w:val="14"/>
        </w:rPr>
      </w:pPr>
    </w:p>
    <w:p>
      <w:pPr>
        <w:pStyle w:val="Heading1"/>
      </w:pPr>
      <w:r>
        <w:rPr>
          <w:color w:val="BE5A13"/>
        </w:rPr>
        <w:t>Recent</w:t>
      </w:r>
      <w:r>
        <w:rPr>
          <w:color w:val="BE5A13"/>
          <w:spacing w:val="-1"/>
        </w:rPr>
        <w:t> </w:t>
      </w:r>
      <w:r>
        <w:rPr>
          <w:color w:val="BE5A13"/>
        </w:rPr>
        <w:t>Publications</w:t>
      </w:r>
      <w:r>
        <w:rPr>
          <w:color w:val="BE5A13"/>
          <w:spacing w:val="-3"/>
        </w:rPr>
        <w:t> </w:t>
      </w:r>
      <w:r>
        <w:rPr>
          <w:color w:val="BE5A13"/>
        </w:rPr>
        <w:t>(minimum</w:t>
      </w:r>
      <w:r>
        <w:rPr>
          <w:color w:val="BE5A13"/>
          <w:spacing w:val="-4"/>
        </w:rPr>
        <w:t> </w:t>
      </w:r>
      <w:r>
        <w:rPr>
          <w:color w:val="BE5A13"/>
        </w:rPr>
        <w:t>5)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106" w:after="0"/>
        <w:ind w:left="480" w:right="253" w:hanging="284"/>
        <w:jc w:val="both"/>
        <w:rPr>
          <w:sz w:val="18"/>
        </w:rPr>
      </w:pPr>
      <w:r>
        <w:rPr>
          <w:sz w:val="18"/>
        </w:rPr>
        <w:t>Mao</w:t>
      </w:r>
      <w:r>
        <w:rPr>
          <w:spacing w:val="-4"/>
          <w:sz w:val="18"/>
        </w:rPr>
        <w:t> </w:t>
      </w:r>
      <w:r>
        <w:rPr>
          <w:sz w:val="18"/>
        </w:rPr>
        <w:t>Y,</w:t>
      </w:r>
      <w:r>
        <w:rPr>
          <w:spacing w:val="-3"/>
          <w:sz w:val="18"/>
        </w:rPr>
        <w:t> </w:t>
      </w:r>
      <w:r>
        <w:rPr>
          <w:sz w:val="18"/>
        </w:rPr>
        <w:t>Protzman</w:t>
      </w:r>
      <w:r>
        <w:rPr>
          <w:spacing w:val="-4"/>
          <w:sz w:val="18"/>
        </w:rPr>
        <w:t> </w:t>
      </w:r>
      <w:r>
        <w:rPr>
          <w:sz w:val="18"/>
        </w:rPr>
        <w:t>NM,</w:t>
      </w:r>
      <w:r>
        <w:rPr>
          <w:spacing w:val="-3"/>
          <w:sz w:val="18"/>
        </w:rPr>
        <w:t> </w:t>
      </w:r>
      <w:r>
        <w:rPr>
          <w:sz w:val="18"/>
        </w:rPr>
        <w:t>John</w:t>
      </w:r>
      <w:r>
        <w:rPr>
          <w:spacing w:val="-5"/>
          <w:sz w:val="18"/>
        </w:rPr>
        <w:t> </w:t>
      </w:r>
      <w:r>
        <w:rPr>
          <w:sz w:val="18"/>
        </w:rPr>
        <w:t>N,</w:t>
      </w:r>
      <w:r>
        <w:rPr>
          <w:spacing w:val="-3"/>
          <w:sz w:val="18"/>
        </w:rPr>
        <w:t> </w:t>
      </w:r>
      <w:r>
        <w:rPr>
          <w:sz w:val="18"/>
        </w:rPr>
        <w:t>Kuehn</w:t>
      </w:r>
      <w:r>
        <w:rPr>
          <w:spacing w:val="-2"/>
          <w:sz w:val="18"/>
        </w:rPr>
        <w:t> </w:t>
      </w:r>
      <w:r>
        <w:rPr>
          <w:sz w:val="18"/>
        </w:rPr>
        <w:t>A,</w:t>
      </w:r>
      <w:r>
        <w:rPr>
          <w:spacing w:val="-3"/>
          <w:sz w:val="18"/>
        </w:rPr>
        <w:t> </w:t>
      </w:r>
      <w:r>
        <w:rPr>
          <w:sz w:val="18"/>
        </w:rPr>
        <w:t>Long</w:t>
      </w:r>
      <w:r>
        <w:rPr>
          <w:spacing w:val="-5"/>
          <w:sz w:val="18"/>
        </w:rPr>
        <w:t> </w:t>
      </w:r>
      <w:r>
        <w:rPr>
          <w:sz w:val="18"/>
        </w:rPr>
        <w:t>D,</w:t>
      </w:r>
      <w:r>
        <w:rPr>
          <w:spacing w:val="-4"/>
          <w:sz w:val="18"/>
        </w:rPr>
        <w:t> </w:t>
      </w:r>
      <w:r>
        <w:rPr>
          <w:sz w:val="18"/>
        </w:rPr>
        <w:t>Sivalenka</w:t>
      </w:r>
      <w:r>
        <w:rPr>
          <w:spacing w:val="-5"/>
          <w:sz w:val="18"/>
        </w:rPr>
        <w:t> </w:t>
      </w:r>
      <w:r>
        <w:rPr>
          <w:sz w:val="18"/>
        </w:rPr>
        <w:t>R,</w:t>
      </w:r>
      <w:r>
        <w:rPr>
          <w:spacing w:val="-3"/>
          <w:sz w:val="18"/>
        </w:rPr>
        <w:t> </w:t>
      </w:r>
      <w:r>
        <w:rPr>
          <w:sz w:val="18"/>
        </w:rPr>
        <w:t>Junka</w:t>
      </w:r>
      <w:r>
        <w:rPr>
          <w:spacing w:val="-38"/>
          <w:sz w:val="18"/>
        </w:rPr>
        <w:t> </w:t>
      </w:r>
      <w:r>
        <w:rPr>
          <w:sz w:val="18"/>
        </w:rPr>
        <w:t>RA, Shah AU, Gosiewska A, Hariri RJ, Brigido SA (2022) An in vitro</w:t>
      </w:r>
      <w:r>
        <w:rPr>
          <w:spacing w:val="1"/>
          <w:sz w:val="18"/>
        </w:rPr>
        <w:t> </w:t>
      </w:r>
      <w:r>
        <w:rPr>
          <w:sz w:val="18"/>
        </w:rPr>
        <w:t>comparison</w:t>
      </w:r>
      <w:r>
        <w:rPr>
          <w:spacing w:val="20"/>
          <w:sz w:val="18"/>
        </w:rPr>
        <w:t> </w:t>
      </w:r>
      <w:r>
        <w:rPr>
          <w:sz w:val="18"/>
        </w:rPr>
        <w:t>of</w:t>
      </w:r>
      <w:r>
        <w:rPr>
          <w:spacing w:val="21"/>
          <w:sz w:val="18"/>
        </w:rPr>
        <w:t> </w:t>
      </w:r>
      <w:r>
        <w:rPr>
          <w:sz w:val="18"/>
        </w:rPr>
        <w:t>human</w:t>
      </w:r>
      <w:r>
        <w:rPr>
          <w:spacing w:val="20"/>
          <w:sz w:val="18"/>
        </w:rPr>
        <w:t> </w:t>
      </w:r>
      <w:r>
        <w:rPr>
          <w:sz w:val="18"/>
        </w:rPr>
        <w:t>corneal</w:t>
      </w:r>
      <w:r>
        <w:rPr>
          <w:spacing w:val="21"/>
          <w:sz w:val="18"/>
        </w:rPr>
        <w:t> </w:t>
      </w:r>
      <w:r>
        <w:rPr>
          <w:sz w:val="18"/>
        </w:rPr>
        <w:t>epithelial</w:t>
      </w:r>
      <w:r>
        <w:rPr>
          <w:spacing w:val="21"/>
          <w:sz w:val="18"/>
        </w:rPr>
        <w:t> </w:t>
      </w:r>
      <w:r>
        <w:rPr>
          <w:sz w:val="18"/>
        </w:rPr>
        <w:t>cell</w:t>
      </w:r>
      <w:r>
        <w:rPr>
          <w:spacing w:val="20"/>
          <w:sz w:val="18"/>
        </w:rPr>
        <w:t> </w:t>
      </w:r>
      <w:r>
        <w:rPr>
          <w:sz w:val="18"/>
        </w:rPr>
        <w:t>activity</w:t>
      </w:r>
      <w:r>
        <w:rPr>
          <w:spacing w:val="25"/>
          <w:sz w:val="18"/>
        </w:rPr>
        <w:t> </w:t>
      </w:r>
      <w:r>
        <w:rPr>
          <w:sz w:val="18"/>
        </w:rPr>
        <w:t>and</w:t>
      </w:r>
    </w:p>
    <w:p>
      <w:pPr>
        <w:spacing w:after="0" w:line="235" w:lineRule="auto"/>
        <w:jc w:val="both"/>
        <w:rPr>
          <w:sz w:val="18"/>
        </w:rPr>
        <w:sectPr>
          <w:type w:val="continuous"/>
          <w:pgSz w:w="11920" w:h="16850"/>
          <w:pgMar w:top="920" w:bottom="280" w:left="500" w:right="480"/>
          <w:cols w:num="2" w:equalWidth="0">
            <w:col w:w="5337" w:space="40"/>
            <w:col w:w="5563"/>
          </w:cols>
        </w:sectPr>
      </w:pPr>
    </w:p>
    <w:p>
      <w:pPr>
        <w:pStyle w:val="BodyText"/>
        <w:spacing w:line="235" w:lineRule="auto" w:before="40"/>
        <w:ind w:left="503" w:right="41"/>
        <w:jc w:val="both"/>
        <w:rPr>
          <w:rFonts w:ascii="Calibri"/>
        </w:rPr>
      </w:pPr>
      <w:r>
        <w:rPr>
          <w:rFonts w:ascii="Calibri"/>
        </w:rPr>
        <w:t>inflammatory response on differently designed ocular amniotic</w:t>
      </w:r>
      <w:r>
        <w:rPr>
          <w:rFonts w:ascii="Calibri"/>
          <w:spacing w:val="1"/>
        </w:rPr>
        <w:t> </w:t>
      </w:r>
      <w:r>
        <w:rPr>
          <w:rFonts w:ascii="Calibri"/>
        </w:rPr>
        <w:t>membranes</w:t>
      </w:r>
      <w:r>
        <w:rPr>
          <w:rFonts w:ascii="Calibri"/>
          <w:spacing w:val="-5"/>
        </w:rPr>
        <w:t> </w:t>
      </w:r>
      <w:r>
        <w:rPr>
          <w:rFonts w:ascii="Calibri"/>
        </w:rPr>
        <w:t>and</w:t>
      </w:r>
      <w:r>
        <w:rPr>
          <w:rFonts w:ascii="Calibri"/>
          <w:spacing w:val="-5"/>
        </w:rPr>
        <w:t> </w:t>
      </w:r>
      <w:r>
        <w:rPr>
          <w:rFonts w:ascii="Calibri"/>
        </w:rPr>
        <w:t>a</w:t>
      </w:r>
      <w:r>
        <w:rPr>
          <w:rFonts w:ascii="Calibri"/>
          <w:spacing w:val="-3"/>
        </w:rPr>
        <w:t> </w:t>
      </w:r>
      <w:r>
        <w:rPr>
          <w:rFonts w:ascii="Calibri"/>
        </w:rPr>
        <w:t>clinical</w:t>
      </w:r>
      <w:r>
        <w:rPr>
          <w:rFonts w:ascii="Calibri"/>
          <w:spacing w:val="-4"/>
        </w:rPr>
        <w:t> </w:t>
      </w:r>
      <w:r>
        <w:rPr>
          <w:rFonts w:ascii="Calibri"/>
        </w:rPr>
        <w:t>case</w:t>
      </w:r>
      <w:r>
        <w:rPr>
          <w:rFonts w:ascii="Calibri"/>
          <w:spacing w:val="-4"/>
        </w:rPr>
        <w:t> </w:t>
      </w:r>
      <w:r>
        <w:rPr>
          <w:rFonts w:ascii="Calibri"/>
        </w:rPr>
        <w:t>study.</w:t>
      </w:r>
      <w:r>
        <w:rPr>
          <w:rFonts w:ascii="Calibri"/>
          <w:spacing w:val="-4"/>
        </w:rPr>
        <w:t> </w:t>
      </w:r>
      <w:r>
        <w:rPr>
          <w:rFonts w:ascii="Calibri"/>
        </w:rPr>
        <w:t>J</w:t>
      </w:r>
      <w:r>
        <w:rPr>
          <w:rFonts w:ascii="Calibri"/>
          <w:spacing w:val="-4"/>
        </w:rPr>
        <w:t> </w:t>
      </w:r>
      <w:r>
        <w:rPr>
          <w:rFonts w:ascii="Calibri"/>
        </w:rPr>
        <w:t>Biomed</w:t>
      </w:r>
      <w:r>
        <w:rPr>
          <w:rFonts w:ascii="Calibri"/>
          <w:spacing w:val="-4"/>
        </w:rPr>
        <w:t> </w:t>
      </w:r>
      <w:r>
        <w:rPr>
          <w:rFonts w:ascii="Calibri"/>
        </w:rPr>
        <w:t>Mater</w:t>
      </w:r>
      <w:r>
        <w:rPr>
          <w:rFonts w:ascii="Calibri"/>
          <w:spacing w:val="-4"/>
        </w:rPr>
        <w:t> </w:t>
      </w:r>
      <w:r>
        <w:rPr>
          <w:rFonts w:ascii="Calibri"/>
        </w:rPr>
        <w:t>Res</w:t>
      </w:r>
      <w:r>
        <w:rPr>
          <w:rFonts w:ascii="Calibri"/>
          <w:spacing w:val="-2"/>
        </w:rPr>
        <w:t> </w:t>
      </w:r>
      <w:r>
        <w:rPr>
          <w:rFonts w:ascii="Calibri"/>
        </w:rPr>
        <w:t>B</w:t>
      </w:r>
      <w:r>
        <w:rPr>
          <w:rFonts w:ascii="Calibri"/>
          <w:spacing w:val="-2"/>
        </w:rPr>
        <w:t> </w:t>
      </w:r>
      <w:r>
        <w:rPr>
          <w:rFonts w:ascii="Calibri"/>
        </w:rPr>
        <w:t>Appl</w:t>
      </w:r>
      <w:r>
        <w:rPr>
          <w:rFonts w:ascii="Calibri"/>
          <w:spacing w:val="-38"/>
        </w:rPr>
        <w:t> </w:t>
      </w:r>
      <w:r>
        <w:rPr>
          <w:rFonts w:ascii="Calibri"/>
        </w:rPr>
        <w:t>Biomater.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35" w:lineRule="auto" w:before="91" w:after="0"/>
        <w:ind w:left="503" w:right="38" w:hanging="284"/>
        <w:jc w:val="both"/>
        <w:rPr>
          <w:sz w:val="18"/>
        </w:rPr>
      </w:pPr>
      <w:r>
        <w:rPr>
          <w:sz w:val="18"/>
        </w:rPr>
        <w:t>Mao Y, John N, Protzman NM, Kuehn A, Long D, Sivalenka R,</w:t>
      </w:r>
      <w:r>
        <w:rPr>
          <w:spacing w:val="1"/>
          <w:sz w:val="18"/>
        </w:rPr>
        <w:t> </w:t>
      </w:r>
      <w:r>
        <w:rPr>
          <w:sz w:val="18"/>
        </w:rPr>
        <w:t>Junka</w:t>
      </w:r>
      <w:r>
        <w:rPr>
          <w:spacing w:val="1"/>
          <w:sz w:val="18"/>
        </w:rPr>
        <w:t> </w:t>
      </w:r>
      <w:r>
        <w:rPr>
          <w:sz w:val="18"/>
        </w:rPr>
        <w:t>RA,</w:t>
      </w:r>
      <w:r>
        <w:rPr>
          <w:spacing w:val="1"/>
          <w:sz w:val="18"/>
        </w:rPr>
        <w:t> </w:t>
      </w:r>
      <w:r>
        <w:rPr>
          <w:sz w:val="18"/>
        </w:rPr>
        <w:t>Gosiewska</w:t>
      </w:r>
      <w:r>
        <w:rPr>
          <w:spacing w:val="1"/>
          <w:sz w:val="18"/>
        </w:rPr>
        <w:t> </w:t>
      </w:r>
      <w:r>
        <w:rPr>
          <w:sz w:val="18"/>
        </w:rPr>
        <w:t>A,</w:t>
      </w:r>
      <w:r>
        <w:rPr>
          <w:spacing w:val="1"/>
          <w:sz w:val="18"/>
        </w:rPr>
        <w:t> </w:t>
      </w:r>
      <w:r>
        <w:rPr>
          <w:sz w:val="18"/>
        </w:rPr>
        <w:t>Hariri</w:t>
      </w:r>
      <w:r>
        <w:rPr>
          <w:spacing w:val="1"/>
          <w:sz w:val="18"/>
        </w:rPr>
        <w:t> </w:t>
      </w:r>
      <w:r>
        <w:rPr>
          <w:sz w:val="18"/>
        </w:rPr>
        <w:t>RJ,</w:t>
      </w:r>
      <w:r>
        <w:rPr>
          <w:spacing w:val="1"/>
          <w:sz w:val="18"/>
        </w:rPr>
        <w:t> </w:t>
      </w:r>
      <w:r>
        <w:rPr>
          <w:sz w:val="18"/>
        </w:rPr>
        <w:t>Brigido</w:t>
      </w:r>
      <w:r>
        <w:rPr>
          <w:spacing w:val="1"/>
          <w:sz w:val="18"/>
        </w:rPr>
        <w:t> </w:t>
      </w:r>
      <w:r>
        <w:rPr>
          <w:sz w:val="18"/>
        </w:rPr>
        <w:t>SA</w:t>
      </w:r>
      <w:r>
        <w:rPr>
          <w:spacing w:val="1"/>
          <w:sz w:val="18"/>
        </w:rPr>
        <w:t> </w:t>
      </w:r>
      <w:r>
        <w:rPr>
          <w:sz w:val="18"/>
        </w:rPr>
        <w:t>(2022)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decellularized</w:t>
      </w:r>
      <w:r>
        <w:rPr>
          <w:spacing w:val="1"/>
          <w:sz w:val="18"/>
        </w:rPr>
        <w:t> </w:t>
      </w:r>
      <w:r>
        <w:rPr>
          <w:sz w:val="18"/>
        </w:rPr>
        <w:t>flowable</w:t>
      </w:r>
      <w:r>
        <w:rPr>
          <w:spacing w:val="1"/>
          <w:sz w:val="18"/>
        </w:rPr>
        <w:t> </w:t>
      </w:r>
      <w:r>
        <w:rPr>
          <w:sz w:val="18"/>
        </w:rPr>
        <w:t>placental</w:t>
      </w:r>
      <w:r>
        <w:rPr>
          <w:spacing w:val="1"/>
          <w:sz w:val="18"/>
        </w:rPr>
        <w:t> </w:t>
      </w:r>
      <w:r>
        <w:rPr>
          <w:sz w:val="18"/>
        </w:rPr>
        <w:t>connective</w:t>
      </w:r>
      <w:r>
        <w:rPr>
          <w:spacing w:val="1"/>
          <w:sz w:val="18"/>
        </w:rPr>
        <w:t> </w:t>
      </w:r>
      <w:r>
        <w:rPr>
          <w:sz w:val="18"/>
        </w:rPr>
        <w:t>tissue</w:t>
      </w:r>
      <w:r>
        <w:rPr>
          <w:spacing w:val="1"/>
          <w:sz w:val="18"/>
        </w:rPr>
        <w:t> </w:t>
      </w:r>
      <w:r>
        <w:rPr>
          <w:sz w:val="18"/>
        </w:rPr>
        <w:t>matrix</w:t>
      </w:r>
      <w:r>
        <w:rPr>
          <w:spacing w:val="1"/>
          <w:sz w:val="18"/>
        </w:rPr>
        <w:t> </w:t>
      </w:r>
      <w:r>
        <w:rPr>
          <w:sz w:val="18"/>
        </w:rPr>
        <w:t>supports cellular functions of human tenocytes in vitro. J Exp</w:t>
      </w:r>
      <w:r>
        <w:rPr>
          <w:spacing w:val="1"/>
          <w:sz w:val="18"/>
        </w:rPr>
        <w:t> </w:t>
      </w:r>
      <w:r>
        <w:rPr>
          <w:sz w:val="18"/>
        </w:rPr>
        <w:t>Orthop</w:t>
      </w:r>
      <w:r>
        <w:rPr>
          <w:spacing w:val="-2"/>
          <w:sz w:val="18"/>
        </w:rPr>
        <w:t> </w:t>
      </w:r>
      <w:r>
        <w:rPr>
          <w:sz w:val="18"/>
        </w:rPr>
        <w:t>9:69.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35" w:lineRule="auto" w:before="94" w:after="0"/>
        <w:ind w:left="503" w:right="43" w:hanging="284"/>
        <w:jc w:val="both"/>
        <w:rPr>
          <w:sz w:val="18"/>
        </w:rPr>
      </w:pPr>
      <w:r>
        <w:rPr>
          <w:sz w:val="18"/>
        </w:rPr>
        <w:t>Gleason J, Guo X, Protzman NM, Mao Y, Kuehn A, Sivalenka R,</w:t>
      </w:r>
      <w:r>
        <w:rPr>
          <w:spacing w:val="1"/>
          <w:sz w:val="18"/>
        </w:rPr>
        <w:t> </w:t>
      </w:r>
      <w:r>
        <w:rPr>
          <w:sz w:val="18"/>
        </w:rPr>
        <w:t>Gosiewska</w:t>
      </w:r>
      <w:r>
        <w:rPr>
          <w:spacing w:val="1"/>
          <w:sz w:val="18"/>
        </w:rPr>
        <w:t> </w:t>
      </w:r>
      <w:r>
        <w:rPr>
          <w:sz w:val="18"/>
        </w:rPr>
        <w:t>A,</w:t>
      </w:r>
      <w:r>
        <w:rPr>
          <w:spacing w:val="1"/>
          <w:sz w:val="18"/>
        </w:rPr>
        <w:t> </w:t>
      </w:r>
      <w:r>
        <w:rPr>
          <w:sz w:val="18"/>
        </w:rPr>
        <w:t>Hariri</w:t>
      </w:r>
      <w:r>
        <w:rPr>
          <w:spacing w:val="1"/>
          <w:sz w:val="18"/>
        </w:rPr>
        <w:t> </w:t>
      </w:r>
      <w:r>
        <w:rPr>
          <w:sz w:val="18"/>
        </w:rPr>
        <w:t>R,</w:t>
      </w:r>
      <w:r>
        <w:rPr>
          <w:spacing w:val="1"/>
          <w:sz w:val="18"/>
        </w:rPr>
        <w:t> </w:t>
      </w:r>
      <w:r>
        <w:rPr>
          <w:sz w:val="18"/>
        </w:rPr>
        <w:t>Brigido</w:t>
      </w:r>
      <w:r>
        <w:rPr>
          <w:spacing w:val="1"/>
          <w:sz w:val="18"/>
        </w:rPr>
        <w:t> </w:t>
      </w:r>
      <w:r>
        <w:rPr>
          <w:sz w:val="18"/>
        </w:rPr>
        <w:t>SA</w:t>
      </w:r>
      <w:r>
        <w:rPr>
          <w:spacing w:val="1"/>
          <w:sz w:val="18"/>
        </w:rPr>
        <w:t> </w:t>
      </w:r>
      <w:r>
        <w:rPr>
          <w:sz w:val="18"/>
        </w:rPr>
        <w:t>(2022)</w:t>
      </w:r>
      <w:r>
        <w:rPr>
          <w:spacing w:val="1"/>
          <w:sz w:val="18"/>
        </w:rPr>
        <w:t> </w:t>
      </w:r>
      <w:r>
        <w:rPr>
          <w:sz w:val="18"/>
        </w:rPr>
        <w:t>Decellularized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dehydrated</w:t>
      </w:r>
      <w:r>
        <w:rPr>
          <w:spacing w:val="-7"/>
          <w:sz w:val="18"/>
        </w:rPr>
        <w:t> </w:t>
      </w:r>
      <w:r>
        <w:rPr>
          <w:sz w:val="18"/>
        </w:rPr>
        <w:t>human</w:t>
      </w:r>
      <w:r>
        <w:rPr>
          <w:spacing w:val="-6"/>
          <w:sz w:val="18"/>
        </w:rPr>
        <w:t> </w:t>
      </w:r>
      <w:r>
        <w:rPr>
          <w:sz w:val="18"/>
        </w:rPr>
        <w:t>amniotic</w:t>
      </w:r>
      <w:r>
        <w:rPr>
          <w:spacing w:val="-4"/>
          <w:sz w:val="18"/>
        </w:rPr>
        <w:t> </w:t>
      </w:r>
      <w:r>
        <w:rPr>
          <w:sz w:val="18"/>
        </w:rPr>
        <w:t>membrane</w:t>
      </w:r>
      <w:r>
        <w:rPr>
          <w:spacing w:val="-7"/>
          <w:sz w:val="18"/>
        </w:rPr>
        <w:t> </w:t>
      </w:r>
      <w:r>
        <w:rPr>
          <w:sz w:val="18"/>
        </w:rPr>
        <w:t>in</w:t>
      </w:r>
      <w:r>
        <w:rPr>
          <w:spacing w:val="-7"/>
          <w:sz w:val="18"/>
        </w:rPr>
        <w:t> </w:t>
      </w:r>
      <w:r>
        <w:rPr>
          <w:sz w:val="18"/>
        </w:rPr>
        <w:t>wound</w:t>
      </w:r>
      <w:r>
        <w:rPr>
          <w:spacing w:val="-6"/>
          <w:sz w:val="18"/>
        </w:rPr>
        <w:t> </w:t>
      </w:r>
      <w:r>
        <w:rPr>
          <w:sz w:val="18"/>
        </w:rPr>
        <w:t>management:</w:t>
      </w:r>
    </w:p>
    <w:p>
      <w:pPr>
        <w:pStyle w:val="BodyText"/>
        <w:spacing w:line="235" w:lineRule="auto" w:before="40"/>
        <w:ind w:left="503" w:right="255"/>
        <w:jc w:val="both"/>
        <w:rPr>
          <w:rFonts w:ascii="Calibri"/>
        </w:rPr>
      </w:pPr>
      <w:r>
        <w:rPr/>
        <w:br w:type="column"/>
      </w:r>
      <w:r>
        <w:rPr>
          <w:rFonts w:ascii="Calibri"/>
        </w:rPr>
        <w:t>Modulation</w:t>
      </w:r>
      <w:r>
        <w:rPr>
          <w:rFonts w:ascii="Calibri"/>
          <w:spacing w:val="1"/>
        </w:rPr>
        <w:t> </w:t>
      </w:r>
      <w:r>
        <w:rPr>
          <w:rFonts w:ascii="Calibri"/>
        </w:rPr>
        <w:t>of</w:t>
      </w:r>
      <w:r>
        <w:rPr>
          <w:rFonts w:ascii="Calibri"/>
          <w:spacing w:val="1"/>
        </w:rPr>
        <w:t> </w:t>
      </w:r>
      <w:r>
        <w:rPr>
          <w:rFonts w:ascii="Calibri"/>
        </w:rPr>
        <w:t>macrophage</w:t>
      </w:r>
      <w:r>
        <w:rPr>
          <w:rFonts w:ascii="Calibri"/>
          <w:spacing w:val="1"/>
        </w:rPr>
        <w:t> </w:t>
      </w:r>
      <w:r>
        <w:rPr>
          <w:rFonts w:ascii="Calibri"/>
        </w:rPr>
        <w:t>differentiation</w:t>
      </w:r>
      <w:r>
        <w:rPr>
          <w:rFonts w:ascii="Calibri"/>
          <w:spacing w:val="1"/>
        </w:rPr>
        <w:t> </w:t>
      </w:r>
      <w:r>
        <w:rPr>
          <w:rFonts w:ascii="Calibri"/>
        </w:rPr>
        <w:t>and</w:t>
      </w:r>
      <w:r>
        <w:rPr>
          <w:rFonts w:ascii="Calibri"/>
          <w:spacing w:val="1"/>
        </w:rPr>
        <w:t> </w:t>
      </w:r>
      <w:r>
        <w:rPr>
          <w:rFonts w:ascii="Calibri"/>
        </w:rPr>
        <w:t>activation.</w:t>
      </w:r>
      <w:r>
        <w:rPr>
          <w:rFonts w:ascii="Calibri"/>
          <w:spacing w:val="1"/>
        </w:rPr>
        <w:t> </w:t>
      </w:r>
      <w:r>
        <w:rPr>
          <w:rFonts w:ascii="Calibri"/>
        </w:rPr>
        <w:t>J</w:t>
      </w:r>
      <w:r>
        <w:rPr>
          <w:rFonts w:ascii="Calibri"/>
          <w:spacing w:val="-38"/>
        </w:rPr>
        <w:t> </w:t>
      </w:r>
      <w:r>
        <w:rPr>
          <w:rFonts w:ascii="Calibri"/>
        </w:rPr>
        <w:t>Biotechnol</w:t>
      </w:r>
      <w:r>
        <w:rPr>
          <w:rFonts w:ascii="Calibri"/>
          <w:spacing w:val="-2"/>
        </w:rPr>
        <w:t> </w:t>
      </w:r>
      <w:r>
        <w:rPr>
          <w:rFonts w:ascii="Calibri"/>
        </w:rPr>
        <w:t>Biomater 12:1000288.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37" w:lineRule="auto" w:before="93" w:after="0"/>
        <w:ind w:left="503" w:right="117" w:hanging="284"/>
        <w:jc w:val="both"/>
        <w:rPr>
          <w:sz w:val="18"/>
        </w:rPr>
      </w:pPr>
      <w:r>
        <w:rPr>
          <w:sz w:val="18"/>
        </w:rPr>
        <w:t>Protzman NM, Mao Y, Sivalenka R, Long D, Gosiewska A, Hariri R,</w:t>
      </w:r>
      <w:r>
        <w:rPr>
          <w:spacing w:val="1"/>
          <w:sz w:val="18"/>
        </w:rPr>
        <w:t> </w:t>
      </w:r>
      <w:r>
        <w:rPr>
          <w:sz w:val="18"/>
        </w:rPr>
        <w:t>Brigido SA (2022) Flowable placental connective tissue matrices for</w:t>
      </w:r>
      <w:r>
        <w:rPr>
          <w:spacing w:val="1"/>
          <w:sz w:val="18"/>
        </w:rPr>
        <w:t> </w:t>
      </w:r>
      <w:r>
        <w:rPr>
          <w:sz w:val="18"/>
        </w:rPr>
        <w:t>tendon</w:t>
      </w:r>
      <w:r>
        <w:rPr>
          <w:spacing w:val="-2"/>
          <w:sz w:val="18"/>
        </w:rPr>
        <w:t> </w:t>
      </w:r>
      <w:r>
        <w:rPr>
          <w:sz w:val="18"/>
        </w:rPr>
        <w:t>repair:</w:t>
      </w:r>
      <w:r>
        <w:rPr>
          <w:spacing w:val="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review.</w:t>
      </w:r>
      <w:r>
        <w:rPr>
          <w:spacing w:val="-1"/>
          <w:sz w:val="18"/>
        </w:rPr>
        <w:t> </w:t>
      </w:r>
      <w:r>
        <w:rPr>
          <w:sz w:val="18"/>
        </w:rPr>
        <w:t>J Biol</w:t>
      </w:r>
      <w:r>
        <w:rPr>
          <w:spacing w:val="-1"/>
          <w:sz w:val="18"/>
        </w:rPr>
        <w:t> </w:t>
      </w:r>
      <w:r>
        <w:rPr>
          <w:sz w:val="18"/>
        </w:rPr>
        <w:t>Med</w:t>
      </w:r>
      <w:r>
        <w:rPr>
          <w:spacing w:val="-1"/>
          <w:sz w:val="18"/>
        </w:rPr>
        <w:t> </w:t>
      </w:r>
      <w:r>
        <w:rPr>
          <w:sz w:val="18"/>
        </w:rPr>
        <w:t>6:010-020.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90" w:after="0"/>
        <w:ind w:left="503" w:right="117" w:hanging="284"/>
        <w:jc w:val="both"/>
        <w:rPr>
          <w:sz w:val="18"/>
        </w:rPr>
      </w:pPr>
      <w:r>
        <w:rPr>
          <w:sz w:val="18"/>
        </w:rPr>
        <w:t>Bhatia M, Pereira M, Rana H, Stout B, Lewis C, Abramson S, Labazzo</w:t>
      </w:r>
      <w:r>
        <w:rPr>
          <w:spacing w:val="-38"/>
          <w:sz w:val="18"/>
        </w:rPr>
        <w:t> </w:t>
      </w:r>
      <w:r>
        <w:rPr>
          <w:sz w:val="18"/>
        </w:rPr>
        <w:t>K, Ray C, Liu Q, Hofgartner W, Hariri R (2007) The mechanism of cell</w:t>
      </w:r>
      <w:r>
        <w:rPr>
          <w:spacing w:val="-38"/>
          <w:sz w:val="18"/>
        </w:rPr>
        <w:t> </w:t>
      </w:r>
      <w:r>
        <w:rPr>
          <w:sz w:val="18"/>
        </w:rPr>
        <w:t>interaction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response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decellularized</w:t>
      </w:r>
      <w:r>
        <w:rPr>
          <w:spacing w:val="1"/>
          <w:sz w:val="18"/>
        </w:rPr>
        <w:t> </w:t>
      </w:r>
      <w:r>
        <w:rPr>
          <w:sz w:val="18"/>
        </w:rPr>
        <w:t>human</w:t>
      </w:r>
      <w:r>
        <w:rPr>
          <w:spacing w:val="1"/>
          <w:sz w:val="18"/>
        </w:rPr>
        <w:t> </w:t>
      </w:r>
      <w:r>
        <w:rPr>
          <w:sz w:val="18"/>
        </w:rPr>
        <w:t>amniotic</w:t>
      </w:r>
      <w:r>
        <w:rPr>
          <w:spacing w:val="1"/>
          <w:sz w:val="18"/>
        </w:rPr>
        <w:t> </w:t>
      </w:r>
      <w:r>
        <w:rPr>
          <w:sz w:val="18"/>
        </w:rPr>
        <w:t>membrane:</w:t>
      </w:r>
      <w:r>
        <w:rPr>
          <w:spacing w:val="-2"/>
          <w:sz w:val="18"/>
        </w:rPr>
        <w:t> </w:t>
      </w:r>
      <w:r>
        <w:rPr>
          <w:sz w:val="18"/>
        </w:rPr>
        <w:t>Implications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wound</w:t>
      </w:r>
      <w:r>
        <w:rPr>
          <w:spacing w:val="-2"/>
          <w:sz w:val="18"/>
        </w:rPr>
        <w:t> </w:t>
      </w:r>
      <w:r>
        <w:rPr>
          <w:sz w:val="18"/>
        </w:rPr>
        <w:t>healing.</w:t>
      </w:r>
      <w:r>
        <w:rPr>
          <w:spacing w:val="-5"/>
          <w:sz w:val="18"/>
        </w:rPr>
        <w:t> </w:t>
      </w:r>
      <w:r>
        <w:rPr>
          <w:sz w:val="18"/>
        </w:rPr>
        <w:t>Wounds</w:t>
      </w:r>
      <w:r>
        <w:rPr>
          <w:spacing w:val="-1"/>
          <w:sz w:val="18"/>
        </w:rPr>
        <w:t> </w:t>
      </w:r>
      <w:r>
        <w:rPr>
          <w:sz w:val="18"/>
        </w:rPr>
        <w:t>19:207-217.</w:t>
      </w:r>
    </w:p>
    <w:p>
      <w:pPr>
        <w:spacing w:after="0" w:line="240" w:lineRule="auto"/>
        <w:jc w:val="both"/>
        <w:rPr>
          <w:sz w:val="18"/>
        </w:rPr>
        <w:sectPr>
          <w:pgSz w:w="11920" w:h="16850"/>
          <w:pgMar w:top="960" w:bottom="280" w:left="500" w:right="480"/>
          <w:cols w:num="2" w:equalWidth="0">
            <w:col w:w="5240" w:space="114"/>
            <w:col w:w="5586"/>
          </w:cols>
        </w:sectPr>
      </w:pPr>
    </w:p>
    <w:p>
      <w:pPr>
        <w:pStyle w:val="BodyText"/>
        <w:spacing w:before="8"/>
        <w:rPr>
          <w:rFonts w:ascii="Calibri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25"/>
        </w:rPr>
      </w:pPr>
    </w:p>
    <w:p>
      <w:pPr>
        <w:spacing w:before="94"/>
        <w:ind w:left="1958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933259</wp:posOffset>
            </wp:positionH>
            <wp:positionV relativeFrom="paragraph">
              <wp:posOffset>-438430</wp:posOffset>
            </wp:positionV>
            <wp:extent cx="621665" cy="621665"/>
            <wp:effectExtent l="0" t="0" r="0" b="0"/>
            <wp:wrapNone/>
            <wp:docPr id="3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75.100006pt;margin-top:-35.922115pt;width:82.2pt;height:47.4pt;mso-position-horizontal-relative:page;mso-position-vertical-relative:paragraph;z-index:15731200" coordorigin="9502,-718" coordsize="1644,948">
            <v:shape style="position:absolute;left:9527;top:-694;width:1594;height:898" coordorigin="9527,-693" coordsize="1594,898" path="m9527,-544l9539,-602,9571,-650,9618,-682,9677,-693,10971,-693,11030,-682,11077,-650,11109,-602,11121,-544,11121,55,11109,113,11077,161,11030,193,10971,205,9677,205,9618,193,9571,161,9539,113,9527,55,9527,-544xe" filled="false" stroked="true" strokeweight="2.5pt" strokecolor="#9bba58">
              <v:path arrowok="t"/>
              <v:stroke dashstyle="solid"/>
            </v:shape>
            <v:shape style="position:absolute;left:9797;top:-553;width:1032;height:615" type="#_x0000_t75" alt="Icon  Description automatically generated" stroked="false">
              <v:imagedata r:id="rId8" o:title=""/>
            </v:shape>
            <w10:wrap type="none"/>
          </v:group>
        </w:pict>
      </w:r>
      <w:r>
        <w:rPr>
          <w:rFonts w:ascii="Arial MT"/>
          <w:color w:val="BE5A13"/>
          <w:sz w:val="22"/>
        </w:rPr>
        <w:t>Biography</w:t>
      </w:r>
      <w:r>
        <w:rPr>
          <w:rFonts w:ascii="Arial MT"/>
          <w:color w:val="BE5A13"/>
          <w:spacing w:val="-1"/>
          <w:sz w:val="22"/>
        </w:rPr>
        <w:t> </w:t>
      </w:r>
      <w:r>
        <w:rPr>
          <w:rFonts w:ascii="Arial MT"/>
          <w:color w:val="BE5A13"/>
          <w:sz w:val="22"/>
        </w:rPr>
        <w:t>(150</w:t>
      </w:r>
      <w:r>
        <w:rPr>
          <w:rFonts w:ascii="Arial MT"/>
          <w:color w:val="BE5A13"/>
          <w:spacing w:val="-5"/>
          <w:sz w:val="22"/>
        </w:rPr>
        <w:t> </w:t>
      </w:r>
      <w:r>
        <w:rPr>
          <w:rFonts w:ascii="Arial MT"/>
          <w:color w:val="BE5A13"/>
          <w:sz w:val="22"/>
        </w:rPr>
        <w:t>word</w:t>
      </w:r>
      <w:r>
        <w:rPr>
          <w:rFonts w:ascii="Arial MT"/>
          <w:color w:val="BE5A13"/>
          <w:spacing w:val="-1"/>
          <w:sz w:val="22"/>
        </w:rPr>
        <w:t> </w:t>
      </w:r>
      <w:r>
        <w:rPr>
          <w:rFonts w:ascii="Arial MT"/>
          <w:color w:val="BE5A13"/>
          <w:sz w:val="22"/>
        </w:rPr>
        <w:t>limit)</w:t>
      </w:r>
    </w:p>
    <w:p>
      <w:pPr>
        <w:spacing w:line="230" w:lineRule="auto" w:before="36"/>
        <w:ind w:left="210" w:right="349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Dr. Gosiewska is a healthcare innovation leader, who is developing cutting edge technologies in tissue engineering and cell therapy and translating them into clinically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differentiated products and solutions. Anna joined Celularity Inc., as Vice President of Research &amp; Development (R&amp;D), Degenerative Diseases in 2020, after 25 years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pacing w:val="-1"/>
          <w:sz w:val="14"/>
        </w:rPr>
        <w:t>working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pacing w:val="-1"/>
          <w:sz w:val="14"/>
        </w:rPr>
        <w:t>at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pacing w:val="-1"/>
          <w:sz w:val="14"/>
        </w:rPr>
        <w:t>Johnson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pacing w:val="-1"/>
          <w:sz w:val="14"/>
        </w:rPr>
        <w:t>&amp;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pacing w:val="-1"/>
          <w:sz w:val="14"/>
        </w:rPr>
        <w:t>Johnson.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pacing w:val="-1"/>
          <w:sz w:val="14"/>
        </w:rPr>
        <w:t>As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pacing w:val="-1"/>
          <w:sz w:val="14"/>
        </w:rPr>
        <w:t>part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pacing w:val="-1"/>
          <w:sz w:val="14"/>
        </w:rPr>
        <w:t>of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pacing w:val="-1"/>
          <w:sz w:val="14"/>
        </w:rPr>
        <w:t>her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pacing w:val="-1"/>
          <w:sz w:val="14"/>
        </w:rPr>
        <w:t>strategic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pacing w:val="-1"/>
          <w:sz w:val="14"/>
        </w:rPr>
        <w:t>R&amp;D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pacing w:val="-1"/>
          <w:sz w:val="14"/>
        </w:rPr>
        <w:t>initiative,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she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building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diverse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portfolio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scientifically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clinically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validated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products,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uniquely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designed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to address significant gaps in the treatment of degenerative diseases. These products include placental-derived cell therapies, biomaterials, and bioactives with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applications across several therapeutic areas, including orthopedics, soft tissue repair, aesthetics, and ophthalmology. Anna has published many research articles and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has 122 patent applications. She is also a member of several international scientific societies and serves on the Advisory Board for Biotechnology at Middlesex County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College,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New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Jersey.</w:t>
      </w:r>
    </w:p>
    <w:p>
      <w:pPr>
        <w:pStyle w:val="BodyText"/>
        <w:spacing w:before="7"/>
        <w:rPr>
          <w:rFonts w:ascii="Arial MT"/>
          <w:sz w:val="22"/>
        </w:rPr>
      </w:pPr>
    </w:p>
    <w:p>
      <w:pPr>
        <w:spacing w:before="0"/>
        <w:ind w:left="4430" w:right="4453" w:firstLine="4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1"/>
          <w:sz w:val="14"/>
        </w:rPr>
        <w:t> </w:t>
      </w:r>
      <w:hyperlink r:id="rId9">
        <w:r>
          <w:rPr>
            <w:rFonts w:ascii="Arial MT"/>
            <w:sz w:val="14"/>
          </w:rPr>
          <w:t>Anna.Gosiewska@celularity.com</w:t>
        </w:r>
      </w:hyperlink>
    </w:p>
    <w:p>
      <w:pPr>
        <w:pStyle w:val="BodyText"/>
        <w:spacing w:before="11"/>
        <w:rPr>
          <w:rFonts w:ascii="Arial MT"/>
        </w:rPr>
      </w:pPr>
      <w:r>
        <w:rPr/>
        <w:pict>
          <v:shape style="position:absolute;margin-left:162.100006pt;margin-top:13.119258pt;width:271.05pt;height:.1pt;mso-position-horizontal-relative:page;mso-position-vertical-relative:paragraph;z-index:-15727104;mso-wrap-distance-left:0;mso-wrap-distance-right:0" coordorigin="3242,262" coordsize="5421,0" path="m3242,262l8663,26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rFonts w:ascii="Arial MT"/>
          <w:sz w:val="19"/>
        </w:rPr>
      </w:pPr>
    </w:p>
    <w:p>
      <w:pPr>
        <w:pStyle w:val="Heading1"/>
        <w:ind w:left="210"/>
        <w:rPr>
          <w:rFonts w:ascii="Cambria"/>
        </w:rPr>
      </w:pPr>
      <w:r>
        <w:rPr>
          <w:rFonts w:ascii="Cambria"/>
        </w:rPr>
        <w:t>Notes/Comments:</w:t>
      </w:r>
    </w:p>
    <w:p>
      <w:pPr>
        <w:pStyle w:val="BodyText"/>
        <w:spacing w:before="39"/>
        <w:ind w:left="220" w:right="160"/>
        <w:rPr>
          <w:rFonts w:ascii="Cambria"/>
        </w:rPr>
      </w:pPr>
      <w:r>
        <w:rPr>
          <w:rFonts w:ascii="Cambria"/>
        </w:rPr>
        <w:t>This work was previously published in the Journal of Biomedical Materials Research Part B Applied Biomaterials in 2022. The full citation</w:t>
      </w:r>
      <w:r>
        <w:rPr>
          <w:rFonts w:ascii="Cambria"/>
          <w:spacing w:val="-37"/>
        </w:rPr>
        <w:t> </w:t>
      </w:r>
      <w:r>
        <w:rPr>
          <w:rFonts w:ascii="Cambria"/>
        </w:rPr>
        <w:t>is</w:t>
      </w:r>
      <w:r>
        <w:rPr>
          <w:rFonts w:ascii="Cambria"/>
          <w:spacing w:val="-1"/>
        </w:rPr>
        <w:t> </w:t>
      </w:r>
      <w:r>
        <w:rPr>
          <w:rFonts w:ascii="Cambria"/>
        </w:rPr>
        <w:t>provided</w:t>
      </w:r>
      <w:r>
        <w:rPr>
          <w:rFonts w:ascii="Cambria"/>
          <w:spacing w:val="1"/>
        </w:rPr>
        <w:t> </w:t>
      </w:r>
      <w:r>
        <w:rPr>
          <w:rFonts w:ascii="Cambria"/>
        </w:rPr>
        <w:t>in</w:t>
      </w:r>
      <w:r>
        <w:rPr>
          <w:rFonts w:ascii="Cambria"/>
          <w:spacing w:val="-1"/>
        </w:rPr>
        <w:t> </w:t>
      </w:r>
      <w:r>
        <w:rPr>
          <w:rFonts w:ascii="Cambria"/>
        </w:rPr>
        <w:t>the</w:t>
      </w:r>
      <w:r>
        <w:rPr>
          <w:rFonts w:ascii="Cambria"/>
          <w:spacing w:val="2"/>
        </w:rPr>
        <w:t> </w:t>
      </w:r>
      <w:r>
        <w:rPr>
          <w:rFonts w:ascii="Cambria"/>
        </w:rPr>
        <w:t>recent publications</w:t>
      </w:r>
      <w:r>
        <w:rPr>
          <w:rFonts w:ascii="Cambria"/>
          <w:spacing w:val="2"/>
        </w:rPr>
        <w:t> </w:t>
      </w:r>
      <w:r>
        <w:rPr>
          <w:rFonts w:ascii="Cambria"/>
        </w:rPr>
        <w:t>section</w:t>
      </w:r>
      <w:r>
        <w:rPr>
          <w:rFonts w:ascii="Cambria"/>
          <w:spacing w:val="-2"/>
        </w:rPr>
        <w:t> </w:t>
      </w:r>
      <w:r>
        <w:rPr>
          <w:rFonts w:ascii="Cambria"/>
        </w:rPr>
        <w:t>of</w:t>
      </w:r>
      <w:r>
        <w:rPr>
          <w:rFonts w:ascii="Cambria"/>
          <w:spacing w:val="1"/>
        </w:rPr>
        <w:t> </w:t>
      </w:r>
      <w:r>
        <w:rPr>
          <w:rFonts w:ascii="Cambria"/>
        </w:rPr>
        <w:t>the</w:t>
      </w:r>
      <w:r>
        <w:rPr>
          <w:rFonts w:ascii="Cambria"/>
          <w:spacing w:val="-1"/>
        </w:rPr>
        <w:t> </w:t>
      </w:r>
      <w:r>
        <w:rPr>
          <w:rFonts w:ascii="Cambria"/>
        </w:rPr>
        <w:t>abstract.</w:t>
      </w:r>
    </w:p>
    <w:p>
      <w:pPr>
        <w:pStyle w:val="BodyText"/>
        <w:spacing w:before="2"/>
        <w:rPr>
          <w:rFonts w:ascii="Cambria"/>
          <w:sz w:val="22"/>
        </w:rPr>
      </w:pPr>
    </w:p>
    <w:p>
      <w:pPr>
        <w:pStyle w:val="Heading1"/>
        <w:spacing w:line="226" w:lineRule="exact"/>
        <w:ind w:left="220"/>
      </w:pPr>
      <w:r>
        <w:rPr>
          <w:w w:val="85"/>
        </w:rPr>
        <w:t>Presenting</w:t>
      </w:r>
      <w:r>
        <w:rPr>
          <w:spacing w:val="6"/>
          <w:w w:val="85"/>
        </w:rPr>
        <w:t> </w:t>
      </w:r>
      <w:r>
        <w:rPr>
          <w:w w:val="85"/>
        </w:rPr>
        <w:t>author</w:t>
      </w:r>
      <w:r>
        <w:rPr>
          <w:spacing w:val="9"/>
          <w:w w:val="85"/>
        </w:rPr>
        <w:t> </w:t>
      </w:r>
      <w:r>
        <w:rPr>
          <w:w w:val="85"/>
        </w:rPr>
        <w:t>details</w:t>
      </w:r>
    </w:p>
    <w:p>
      <w:pPr>
        <w:pStyle w:val="Heading2"/>
        <w:spacing w:line="228" w:lineRule="auto" w:before="5"/>
        <w:ind w:right="7464"/>
      </w:pPr>
      <w:r>
        <w:rPr>
          <w:w w:val="85"/>
        </w:rPr>
        <w:t>Full</w:t>
      </w:r>
      <w:r>
        <w:rPr>
          <w:spacing w:val="5"/>
          <w:w w:val="85"/>
        </w:rPr>
        <w:t> </w:t>
      </w:r>
      <w:r>
        <w:rPr>
          <w:w w:val="85"/>
        </w:rPr>
        <w:t>name:</w:t>
      </w:r>
      <w:r>
        <w:rPr>
          <w:spacing w:val="7"/>
          <w:w w:val="85"/>
        </w:rPr>
        <w:t> </w:t>
      </w:r>
      <w:r>
        <w:rPr>
          <w:w w:val="85"/>
        </w:rPr>
        <w:t>Anna</w:t>
      </w:r>
      <w:r>
        <w:rPr>
          <w:spacing w:val="7"/>
          <w:w w:val="85"/>
        </w:rPr>
        <w:t> </w:t>
      </w:r>
      <w:r>
        <w:rPr>
          <w:w w:val="85"/>
        </w:rPr>
        <w:t>Gosiewska,</w:t>
      </w:r>
      <w:r>
        <w:rPr>
          <w:spacing w:val="5"/>
          <w:w w:val="85"/>
        </w:rPr>
        <w:t> </w:t>
      </w:r>
      <w:r>
        <w:rPr>
          <w:w w:val="85"/>
        </w:rPr>
        <w:t>Ph.D.</w:t>
      </w:r>
      <w:r>
        <w:rPr>
          <w:spacing w:val="-42"/>
          <w:w w:val="85"/>
        </w:rPr>
        <w:t> </w:t>
      </w:r>
      <w:r>
        <w:rPr>
          <w:w w:val="90"/>
        </w:rPr>
        <w:t>Contact</w:t>
      </w:r>
      <w:r>
        <w:rPr>
          <w:spacing w:val="21"/>
          <w:w w:val="90"/>
        </w:rPr>
        <w:t> </w:t>
      </w:r>
      <w:r>
        <w:rPr>
          <w:w w:val="90"/>
        </w:rPr>
        <w:t>number:</w:t>
      </w:r>
      <w:r>
        <w:rPr>
          <w:spacing w:val="18"/>
          <w:w w:val="90"/>
        </w:rPr>
        <w:t> </w:t>
      </w:r>
      <w:r>
        <w:rPr>
          <w:w w:val="90"/>
        </w:rPr>
        <w:t>(908)</w:t>
      </w:r>
      <w:r>
        <w:rPr>
          <w:spacing w:val="20"/>
          <w:w w:val="90"/>
        </w:rPr>
        <w:t> </w:t>
      </w:r>
      <w:r>
        <w:rPr>
          <w:w w:val="90"/>
        </w:rPr>
        <w:t>922-2476</w:t>
      </w:r>
    </w:p>
    <w:p>
      <w:pPr>
        <w:spacing w:line="230" w:lineRule="auto" w:before="3"/>
        <w:ind w:left="220" w:right="6118" w:firstLine="0"/>
        <w:jc w:val="left"/>
        <w:rPr>
          <w:sz w:val="20"/>
        </w:rPr>
      </w:pPr>
      <w:r>
        <w:rPr>
          <w:spacing w:val="-1"/>
          <w:w w:val="71"/>
          <w:sz w:val="20"/>
        </w:rPr>
        <w:t>T</w:t>
      </w:r>
      <w:r>
        <w:rPr>
          <w:spacing w:val="-1"/>
          <w:w w:val="91"/>
          <w:sz w:val="20"/>
        </w:rPr>
        <w:t>w</w:t>
      </w:r>
      <w:r>
        <w:rPr>
          <w:spacing w:val="-1"/>
          <w:w w:val="96"/>
          <w:sz w:val="20"/>
        </w:rPr>
        <w:t>i</w:t>
      </w:r>
      <w:r>
        <w:rPr>
          <w:w w:val="96"/>
          <w:sz w:val="20"/>
        </w:rPr>
        <w:t>t</w:t>
      </w:r>
      <w:r>
        <w:rPr>
          <w:spacing w:val="1"/>
          <w:w w:val="97"/>
          <w:sz w:val="20"/>
        </w:rPr>
        <w:t>t</w:t>
      </w:r>
      <w:r>
        <w:rPr>
          <w:spacing w:val="1"/>
          <w:w w:val="89"/>
          <w:sz w:val="20"/>
        </w:rPr>
        <w:t>e</w:t>
      </w:r>
      <w:r>
        <w:rPr>
          <w:w w:val="99"/>
          <w:sz w:val="20"/>
        </w:rPr>
        <w:t>r</w:t>
      </w:r>
      <w:r>
        <w:rPr>
          <w:spacing w:val="2"/>
          <w:sz w:val="20"/>
        </w:rPr>
        <w:t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-1"/>
          <w:w w:val="78"/>
          <w:sz w:val="20"/>
        </w:rPr>
        <w:t>un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3"/>
          <w:sz w:val="20"/>
        </w:rPr>
        <w:t> </w:t>
      </w:r>
      <w:r>
        <w:rPr>
          <w:spacing w:val="-1"/>
          <w:w w:val="78"/>
          <w:sz w:val="20"/>
        </w:rPr>
        <w:t>h</w:t>
      </w:r>
      <w:r>
        <w:rPr>
          <w:spacing w:val="1"/>
          <w:w w:val="97"/>
          <w:sz w:val="20"/>
        </w:rPr>
        <w:t>tt</w:t>
      </w:r>
      <w:r>
        <w:rPr>
          <w:w w:val="83"/>
          <w:sz w:val="20"/>
        </w:rPr>
        <w:t>p</w:t>
      </w:r>
      <w:r>
        <w:rPr>
          <w:spacing w:val="1"/>
          <w:w w:val="83"/>
          <w:sz w:val="20"/>
        </w:rPr>
        <w:t>s</w:t>
      </w:r>
      <w:r>
        <w:rPr>
          <w:spacing w:val="-1"/>
          <w:w w:val="128"/>
          <w:sz w:val="20"/>
        </w:rPr>
        <w:t>:</w:t>
      </w:r>
      <w:r>
        <w:rPr>
          <w:w w:val="128"/>
          <w:sz w:val="20"/>
        </w:rPr>
        <w:t>/</w:t>
      </w:r>
      <w:r>
        <w:rPr>
          <w:spacing w:val="1"/>
          <w:w w:val="179"/>
          <w:sz w:val="20"/>
        </w:rPr>
        <w:t>/</w:t>
      </w:r>
      <w:r>
        <w:rPr>
          <w:spacing w:val="1"/>
          <w:w w:val="97"/>
          <w:sz w:val="20"/>
        </w:rPr>
        <w:t>t</w:t>
      </w:r>
      <w:r>
        <w:rPr>
          <w:spacing w:val="-1"/>
          <w:w w:val="91"/>
          <w:sz w:val="20"/>
        </w:rPr>
        <w:t>w</w:t>
      </w:r>
      <w:r>
        <w:rPr>
          <w:spacing w:val="-1"/>
          <w:w w:val="96"/>
          <w:sz w:val="20"/>
        </w:rPr>
        <w:t>i</w:t>
      </w:r>
      <w:r>
        <w:rPr>
          <w:w w:val="96"/>
          <w:sz w:val="20"/>
        </w:rPr>
        <w:t>t</w:t>
      </w:r>
      <w:r>
        <w:rPr>
          <w:spacing w:val="1"/>
          <w:w w:val="97"/>
          <w:sz w:val="20"/>
        </w:rPr>
        <w:t>t</w:t>
      </w:r>
      <w:r>
        <w:rPr>
          <w:spacing w:val="1"/>
          <w:w w:val="89"/>
          <w:sz w:val="20"/>
        </w:rPr>
        <w:t>e</w:t>
      </w:r>
      <w:r>
        <w:rPr>
          <w:w w:val="99"/>
          <w:sz w:val="20"/>
        </w:rPr>
        <w:t>r</w:t>
      </w:r>
      <w:r>
        <w:rPr>
          <w:spacing w:val="-3"/>
          <w:w w:val="78"/>
          <w:sz w:val="20"/>
        </w:rPr>
        <w:t>.</w:t>
      </w:r>
      <w:r>
        <w:rPr>
          <w:w w:val="83"/>
          <w:sz w:val="20"/>
        </w:rPr>
        <w:t>c</w:t>
      </w:r>
      <w:r>
        <w:rPr>
          <w:spacing w:val="1"/>
          <w:w w:val="83"/>
          <w:sz w:val="20"/>
        </w:rPr>
        <w:t>o</w:t>
      </w:r>
      <w:r>
        <w:rPr>
          <w:spacing w:val="-1"/>
          <w:w w:val="79"/>
          <w:sz w:val="20"/>
        </w:rPr>
        <w:t>m</w:t>
      </w:r>
      <w:r>
        <w:rPr>
          <w:spacing w:val="1"/>
          <w:w w:val="179"/>
          <w:sz w:val="20"/>
        </w:rPr>
        <w:t>/</w:t>
      </w:r>
      <w:r>
        <w:rPr>
          <w:w w:val="85"/>
          <w:sz w:val="20"/>
        </w:rPr>
        <w:t>an</w:t>
      </w:r>
      <w:r>
        <w:rPr>
          <w:spacing w:val="-2"/>
          <w:w w:val="85"/>
          <w:sz w:val="20"/>
        </w:rPr>
        <w:t>n</w:t>
      </w:r>
      <w:r>
        <w:rPr>
          <w:w w:val="94"/>
          <w:sz w:val="20"/>
        </w:rPr>
        <w:t>a</w:t>
      </w:r>
      <w:r>
        <w:rPr>
          <w:spacing w:val="1"/>
          <w:w w:val="94"/>
          <w:sz w:val="20"/>
        </w:rPr>
        <w:t>_</w:t>
      </w:r>
      <w:r>
        <w:rPr>
          <w:w w:val="94"/>
          <w:sz w:val="20"/>
        </w:rPr>
        <w:t>g</w:t>
      </w:r>
      <w:r>
        <w:rPr>
          <w:spacing w:val="1"/>
          <w:w w:val="94"/>
          <w:sz w:val="20"/>
        </w:rPr>
        <w:t>o</w:t>
      </w:r>
      <w:r>
        <w:rPr>
          <w:w w:val="66"/>
          <w:sz w:val="20"/>
        </w:rPr>
        <w:t>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e</w:t>
      </w:r>
      <w:r>
        <w:rPr>
          <w:spacing w:val="-1"/>
          <w:w w:val="91"/>
          <w:sz w:val="20"/>
        </w:rPr>
        <w:t>w</w:t>
      </w:r>
      <w:r>
        <w:rPr>
          <w:w w:val="66"/>
          <w:sz w:val="20"/>
        </w:rPr>
        <w:t>s</w:t>
      </w:r>
      <w:r>
        <w:rPr>
          <w:spacing w:val="-1"/>
          <w:w w:val="87"/>
          <w:sz w:val="20"/>
        </w:rPr>
        <w:t>k</w:t>
      </w:r>
      <w:r>
        <w:rPr>
          <w:w w:val="98"/>
          <w:sz w:val="20"/>
        </w:rPr>
        <w:t>a </w:t>
      </w:r>
      <w:r>
        <w:rPr>
          <w:w w:val="77"/>
          <w:sz w:val="20"/>
        </w:rPr>
        <w:t>Li</w:t>
      </w:r>
      <w:r>
        <w:rPr>
          <w:spacing w:val="-2"/>
          <w:w w:val="77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98"/>
          <w:sz w:val="20"/>
        </w:rPr>
        <w:t>d</w:t>
      </w:r>
      <w:r>
        <w:rPr>
          <w:spacing w:val="2"/>
          <w:sz w:val="20"/>
        </w:rPr>
        <w:t> </w:t>
      </w:r>
      <w:r>
        <w:rPr>
          <w:spacing w:val="1"/>
          <w:w w:val="78"/>
          <w:sz w:val="20"/>
        </w:rPr>
        <w:t>I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1"/>
          <w:w w:val="78"/>
          <w:sz w:val="20"/>
        </w:rPr>
        <w:t>u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3"/>
          <w:sz w:val="20"/>
        </w:rPr>
        <w:t> </w:t>
      </w:r>
      <w:hyperlink r:id="rId10">
        <w:r>
          <w:rPr>
            <w:spacing w:val="1"/>
            <w:w w:val="91"/>
            <w:sz w:val="20"/>
          </w:rPr>
          <w:t>w</w:t>
        </w:r>
        <w:r>
          <w:rPr>
            <w:spacing w:val="-1"/>
            <w:w w:val="91"/>
            <w:sz w:val="20"/>
          </w:rPr>
          <w:t>ww</w:t>
        </w:r>
        <w:r>
          <w:rPr>
            <w:spacing w:val="1"/>
            <w:w w:val="78"/>
            <w:sz w:val="20"/>
          </w:rPr>
          <w:t>.</w:t>
        </w:r>
        <w:r>
          <w:rPr>
            <w:spacing w:val="-1"/>
            <w:w w:val="95"/>
            <w:sz w:val="20"/>
          </w:rPr>
          <w:t>li</w:t>
        </w:r>
        <w:r>
          <w:rPr>
            <w:spacing w:val="1"/>
            <w:w w:val="78"/>
            <w:sz w:val="20"/>
          </w:rPr>
          <w:t>n</w:t>
        </w:r>
        <w:r>
          <w:rPr>
            <w:spacing w:val="-1"/>
            <w:w w:val="87"/>
            <w:sz w:val="20"/>
          </w:rPr>
          <w:t>k</w:t>
        </w:r>
        <w:r>
          <w:rPr>
            <w:spacing w:val="1"/>
            <w:w w:val="89"/>
            <w:sz w:val="20"/>
          </w:rPr>
          <w:t>e</w:t>
        </w:r>
        <w:r>
          <w:rPr>
            <w:w w:val="97"/>
            <w:sz w:val="20"/>
          </w:rPr>
          <w:t>d</w:t>
        </w:r>
        <w:r>
          <w:rPr>
            <w:spacing w:val="2"/>
            <w:w w:val="97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-1"/>
            <w:w w:val="82"/>
            <w:sz w:val="20"/>
          </w:rPr>
          <w:t>.c</w:t>
        </w:r>
        <w:r>
          <w:rPr>
            <w:w w:val="82"/>
            <w:sz w:val="20"/>
          </w:rPr>
          <w:t>o</w:t>
        </w:r>
        <w:r>
          <w:rPr>
            <w:spacing w:val="-1"/>
            <w:w w:val="79"/>
            <w:sz w:val="20"/>
          </w:rPr>
          <w:t>m</w:t>
        </w:r>
        <w:r>
          <w:rPr>
            <w:spacing w:val="1"/>
            <w:w w:val="179"/>
            <w:sz w:val="20"/>
          </w:rPr>
          <w:t>/</w:t>
        </w:r>
        <w:r>
          <w:rPr>
            <w:spacing w:val="1"/>
            <w:w w:val="95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1"/>
            <w:w w:val="179"/>
            <w:sz w:val="20"/>
          </w:rPr>
          <w:t>/</w:t>
        </w:r>
        <w:r>
          <w:rPr>
            <w:w w:val="85"/>
            <w:sz w:val="20"/>
          </w:rPr>
          <w:t>an</w:t>
        </w:r>
        <w:r>
          <w:rPr>
            <w:spacing w:val="-2"/>
            <w:w w:val="85"/>
            <w:sz w:val="20"/>
          </w:rPr>
          <w:t>n</w:t>
        </w:r>
        <w:r>
          <w:rPr>
            <w:w w:val="98"/>
            <w:sz w:val="20"/>
          </w:rPr>
          <w:t>ag</w:t>
        </w:r>
        <w:r>
          <w:rPr>
            <w:spacing w:val="1"/>
            <w:w w:val="89"/>
            <w:sz w:val="20"/>
          </w:rPr>
          <w:t>o</w:t>
        </w:r>
        <w:r>
          <w:rPr>
            <w:w w:val="66"/>
            <w:sz w:val="20"/>
          </w:rPr>
          <w:t>s</w:t>
        </w:r>
        <w:r>
          <w:rPr>
            <w:spacing w:val="-1"/>
            <w:w w:val="91"/>
            <w:sz w:val="20"/>
          </w:rPr>
          <w:t>i</w:t>
        </w:r>
        <w:r>
          <w:rPr>
            <w:w w:val="91"/>
            <w:sz w:val="20"/>
          </w:rPr>
          <w:t>e</w:t>
        </w:r>
        <w:r>
          <w:rPr>
            <w:spacing w:val="-1"/>
            <w:w w:val="91"/>
            <w:sz w:val="20"/>
          </w:rPr>
          <w:t>w</w:t>
        </w:r>
        <w:r>
          <w:rPr>
            <w:w w:val="66"/>
            <w:sz w:val="20"/>
          </w:rPr>
          <w:t>s</w:t>
        </w:r>
        <w:r>
          <w:rPr>
            <w:spacing w:val="-1"/>
            <w:w w:val="87"/>
            <w:sz w:val="20"/>
          </w:rPr>
          <w:t>k</w:t>
        </w:r>
        <w:r>
          <w:rPr>
            <w:w w:val="98"/>
            <w:sz w:val="20"/>
          </w:rPr>
          <w:t>a</w:t>
        </w:r>
      </w:hyperlink>
    </w:p>
    <w:p>
      <w:pPr>
        <w:pStyle w:val="Heading2"/>
        <w:spacing w:line="228" w:lineRule="auto" w:before="4"/>
      </w:pPr>
      <w:r>
        <w:rPr>
          <w:spacing w:val="1"/>
          <w:w w:val="74"/>
        </w:rPr>
        <w:t>S</w:t>
      </w:r>
      <w:r>
        <w:rPr>
          <w:spacing w:val="1"/>
          <w:w w:val="89"/>
        </w:rPr>
        <w:t>e</w:t>
      </w:r>
      <w:r>
        <w:rPr>
          <w:w w:val="66"/>
        </w:rPr>
        <w:t>ss</w:t>
      </w:r>
      <w:r>
        <w:rPr>
          <w:spacing w:val="-1"/>
          <w:w w:val="91"/>
        </w:rPr>
        <w:t>i</w:t>
      </w:r>
      <w:r>
        <w:rPr>
          <w:w w:val="91"/>
        </w:rPr>
        <w:t>o</w:t>
      </w:r>
      <w:r>
        <w:rPr>
          <w:w w:val="78"/>
        </w:rPr>
        <w:t>n</w:t>
      </w:r>
      <w:r>
        <w:rPr>
          <w:spacing w:val="1"/>
        </w:rPr>
        <w:t> </w:t>
      </w:r>
      <w:r>
        <w:rPr>
          <w:spacing w:val="-1"/>
          <w:w w:val="78"/>
        </w:rPr>
        <w:t>n</w:t>
      </w:r>
      <w:r>
        <w:rPr>
          <w:w w:val="88"/>
        </w:rPr>
        <w:t>ame</w:t>
      </w:r>
      <w:r>
        <w:rPr>
          <w:w w:val="179"/>
        </w:rPr>
        <w:t>/</w:t>
      </w:r>
      <w:r>
        <w:rPr>
          <w:spacing w:val="2"/>
        </w:rPr>
        <w:t> </w:t>
      </w:r>
      <w:r>
        <w:rPr>
          <w:spacing w:val="-1"/>
          <w:w w:val="78"/>
        </w:rPr>
        <w:t>nu</w:t>
      </w:r>
      <w:r>
        <w:rPr>
          <w:spacing w:val="-1"/>
          <w:w w:val="79"/>
        </w:rPr>
        <w:t>m</w:t>
      </w:r>
      <w:r>
        <w:rPr>
          <w:w w:val="94"/>
        </w:rPr>
        <w:t>b</w:t>
      </w:r>
      <w:r>
        <w:rPr>
          <w:spacing w:val="1"/>
          <w:w w:val="94"/>
        </w:rPr>
        <w:t>e</w:t>
      </w:r>
      <w:r>
        <w:rPr>
          <w:w w:val="99"/>
        </w:rPr>
        <w:t>r</w:t>
      </w:r>
      <w:r>
        <w:rPr>
          <w:w w:val="78"/>
        </w:rPr>
        <w:t>:</w:t>
      </w:r>
      <w:r>
        <w:rPr>
          <w:spacing w:val="3"/>
        </w:rPr>
        <w:t> </w:t>
      </w:r>
      <w:r>
        <w:rPr>
          <w:spacing w:val="-1"/>
          <w:w w:val="71"/>
        </w:rPr>
        <w:t>T</w:t>
      </w:r>
      <w:r>
        <w:rPr>
          <w:w w:val="99"/>
        </w:rPr>
        <w:t>r</w:t>
      </w:r>
      <w:r>
        <w:rPr>
          <w:w w:val="88"/>
        </w:rPr>
        <w:t>a</w:t>
      </w:r>
      <w:r>
        <w:rPr>
          <w:spacing w:val="2"/>
          <w:w w:val="88"/>
        </w:rPr>
        <w:t>c</w:t>
      </w:r>
      <w:r>
        <w:rPr>
          <w:w w:val="87"/>
        </w:rPr>
        <w:t>k</w:t>
      </w:r>
      <w:r>
        <w:rPr>
          <w:spacing w:val="3"/>
        </w:rPr>
        <w:t> </w:t>
      </w:r>
      <w:r>
        <w:rPr>
          <w:w w:val="98"/>
        </w:rPr>
        <w:t>16</w:t>
      </w:r>
      <w:r>
        <w:rPr>
          <w:w w:val="179"/>
        </w:rPr>
        <w:t>/</w:t>
      </w:r>
      <w:r>
        <w:rPr>
          <w:spacing w:val="2"/>
        </w:rPr>
        <w:t> </w:t>
      </w:r>
      <w:r>
        <w:rPr>
          <w:spacing w:val="1"/>
          <w:w w:val="68"/>
        </w:rPr>
        <w:t>R</w:t>
      </w:r>
      <w:r>
        <w:rPr>
          <w:spacing w:val="1"/>
          <w:w w:val="89"/>
        </w:rPr>
        <w:t>e</w:t>
      </w:r>
      <w:r>
        <w:rPr>
          <w:w w:val="94"/>
        </w:rPr>
        <w:t>g</w:t>
      </w:r>
      <w:r>
        <w:rPr>
          <w:spacing w:val="1"/>
          <w:w w:val="94"/>
        </w:rPr>
        <w:t>e</w:t>
      </w:r>
      <w:r>
        <w:rPr>
          <w:spacing w:val="-1"/>
          <w:w w:val="78"/>
        </w:rPr>
        <w:t>n</w:t>
      </w:r>
      <w:r>
        <w:rPr>
          <w:spacing w:val="1"/>
          <w:w w:val="89"/>
        </w:rPr>
        <w:t>e</w:t>
      </w:r>
      <w:r>
        <w:rPr>
          <w:w w:val="99"/>
        </w:rPr>
        <w:t>r</w:t>
      </w:r>
      <w:r>
        <w:rPr>
          <w:spacing w:val="-2"/>
          <w:w w:val="98"/>
        </w:rPr>
        <w:t>a</w:t>
      </w:r>
      <w:r>
        <w:rPr>
          <w:spacing w:val="1"/>
          <w:w w:val="97"/>
        </w:rPr>
        <w:t>t</w:t>
      </w:r>
      <w:r>
        <w:rPr>
          <w:spacing w:val="-1"/>
          <w:w w:val="89"/>
        </w:rPr>
        <w:t>i</w:t>
      </w:r>
      <w:r>
        <w:rPr>
          <w:spacing w:val="-2"/>
          <w:w w:val="89"/>
        </w:rPr>
        <w:t>v</w:t>
      </w:r>
      <w:r>
        <w:rPr>
          <w:w w:val="89"/>
        </w:rPr>
        <w:t>e</w:t>
      </w:r>
      <w:r>
        <w:rPr>
          <w:spacing w:val="2"/>
        </w:rPr>
        <w:t> </w:t>
      </w:r>
      <w:r>
        <w:rPr>
          <w:w w:val="98"/>
        </w:rPr>
        <w:t>Op</w:t>
      </w:r>
      <w:r>
        <w:rPr>
          <w:spacing w:val="-1"/>
          <w:w w:val="78"/>
        </w:rPr>
        <w:t>h</w:t>
      </w:r>
      <w:r>
        <w:rPr>
          <w:spacing w:val="1"/>
          <w:w w:val="97"/>
        </w:rPr>
        <w:t>t</w:t>
      </w:r>
      <w:r>
        <w:rPr>
          <w:spacing w:val="-1"/>
          <w:w w:val="78"/>
        </w:rPr>
        <w:t>h</w:t>
      </w:r>
      <w:r>
        <w:rPr>
          <w:w w:val="88"/>
        </w:rPr>
        <w:t>al</w:t>
      </w:r>
      <w:r>
        <w:rPr>
          <w:spacing w:val="-1"/>
          <w:w w:val="88"/>
        </w:rPr>
        <w:t>m</w:t>
      </w:r>
      <w:r>
        <w:rPr>
          <w:spacing w:val="1"/>
          <w:w w:val="89"/>
        </w:rPr>
        <w:t>o</w:t>
      </w:r>
      <w:r>
        <w:rPr>
          <w:spacing w:val="1"/>
          <w:w w:val="95"/>
        </w:rPr>
        <w:t>l</w:t>
      </w:r>
      <w:r>
        <w:rPr>
          <w:spacing w:val="1"/>
          <w:w w:val="89"/>
        </w:rPr>
        <w:t>o</w:t>
      </w:r>
      <w:r>
        <w:rPr>
          <w:w w:val="99"/>
        </w:rPr>
        <w:t>gy </w:t>
      </w:r>
      <w:r>
        <w:rPr/>
        <w:t>Category:</w:t>
      </w:r>
      <w:r>
        <w:rPr>
          <w:spacing w:val="-3"/>
        </w:rPr>
        <w:t> </w:t>
      </w:r>
      <w:r>
        <w:rPr/>
        <w:t>Oral</w:t>
      </w:r>
      <w:r>
        <w:rPr>
          <w:spacing w:val="-2"/>
        </w:rPr>
        <w:t> </w:t>
      </w:r>
      <w:r>
        <w:rPr/>
        <w:t>presentation</w:t>
      </w:r>
    </w:p>
    <w:p>
      <w:pPr>
        <w:spacing w:after="0" w:line="228" w:lineRule="auto"/>
        <w:sectPr>
          <w:type w:val="continuous"/>
          <w:pgSz w:w="11920" w:h="16850"/>
          <w:pgMar w:top="920" w:bottom="280" w:left="500" w:right="48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4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2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5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0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"/>
      <w:ind w:left="220" w:right="4789"/>
      <w:outlineLvl w:val="2"/>
    </w:pPr>
    <w:rPr>
      <w:rFonts w:ascii="Microsoft Sans Serif" w:hAnsi="Microsoft Sans Serif" w:eastAsia="Microsoft Sans Serif" w:cs="Microsoft Sans Serif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19" w:right="117"/>
      <w:jc w:val="both"/>
    </w:pPr>
    <w:rPr>
      <w:rFonts w:ascii="Cambria" w:hAnsi="Cambria" w:eastAsia="Cambria" w:cs="Cambria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503" w:right="117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hyperlink" Target="mailto:Anna.Gosiewska@celularity.com" TargetMode="External"/><Relationship Id="rId10" Type="http://schemas.openxmlformats.org/officeDocument/2006/relationships/hyperlink" Target="http://www.linkedin.com/in/annagosiewska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2023-05-27T05:14:44Z</dcterms:created>
  <dcterms:modified xsi:type="dcterms:W3CDTF">2023-05-27T05:14:44Z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2023-05-27T00:00:00Z</vt:filetime>
  </property>
</Properties>
</file>