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6684"/>
        <w:rPr>
          <w:rFonts w:ascii="Times New Roman"/>
          <w:sz w:val="20"/>
        </w:rPr>
      </w:pPr>
      <w:r>
        <w:rPr>
          <w:rFonts w:ascii="Times New Roman"/>
          <w:sz w:val="20"/>
        </w:rPr>
        <w:drawing>
          <wp:inline distT="0" distB="0" distL="0" distR="0">
            <wp:extent cx="1915663" cy="2047875"/>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915663" cy="2047875"/>
                    </a:xfrm>
                    <a:prstGeom prst="rect">
                      <a:avLst/>
                    </a:prstGeom>
                  </pic:spPr>
                </pic:pic>
              </a:graphicData>
            </a:graphic>
          </wp:inline>
        </w:drawing>
      </w:r>
      <w:r>
        <w:rPr>
          <w:rFonts w:ascii="Times New Roman"/>
          <w:sz w:val="20"/>
        </w:rPr>
      </w:r>
    </w:p>
    <w:p>
      <w:pPr>
        <w:pStyle w:val="Title"/>
      </w:pPr>
      <w:r>
        <w:rPr/>
        <w:t>Relugolix</w:t>
      </w:r>
      <w:r>
        <w:rPr>
          <w:spacing w:val="-8"/>
        </w:rPr>
        <w:t> </w:t>
      </w:r>
      <w:r>
        <w:rPr/>
        <w:t>&amp;</w:t>
      </w:r>
      <w:r>
        <w:rPr>
          <w:spacing w:val="-8"/>
        </w:rPr>
        <w:t> </w:t>
      </w:r>
      <w:r>
        <w:rPr/>
        <w:t>Elagolix</w:t>
      </w:r>
      <w:r>
        <w:rPr>
          <w:spacing w:val="-7"/>
        </w:rPr>
        <w:t> </w:t>
      </w:r>
      <w:r>
        <w:rPr/>
        <w:t>Inhibit</w:t>
      </w:r>
      <w:r>
        <w:rPr>
          <w:spacing w:val="-8"/>
        </w:rPr>
        <w:t> </w:t>
      </w:r>
      <w:r>
        <w:rPr/>
        <w:t>Leiomyoma</w:t>
      </w:r>
      <w:r>
        <w:rPr>
          <w:spacing w:val="-7"/>
        </w:rPr>
        <w:t> </w:t>
      </w:r>
      <w:r>
        <w:rPr/>
        <w:t>Extracellular</w:t>
      </w:r>
      <w:r>
        <w:rPr>
          <w:spacing w:val="-8"/>
        </w:rPr>
        <w:t> </w:t>
      </w:r>
      <w:r>
        <w:rPr/>
        <w:t>Matrix</w:t>
      </w:r>
      <w:r>
        <w:rPr>
          <w:spacing w:val="-7"/>
        </w:rPr>
        <w:t> </w:t>
      </w:r>
      <w:r>
        <w:rPr>
          <w:spacing w:val="-2"/>
        </w:rPr>
        <w:t>Production</w:t>
      </w:r>
    </w:p>
    <w:p>
      <w:pPr>
        <w:pStyle w:val="BodyText"/>
        <w:spacing w:before="3"/>
        <w:rPr>
          <w:b/>
          <w:sz w:val="27"/>
        </w:rPr>
      </w:pPr>
    </w:p>
    <w:p>
      <w:pPr>
        <w:spacing w:before="0"/>
        <w:ind w:left="1733" w:right="887" w:firstLine="0"/>
        <w:jc w:val="center"/>
        <w:rPr>
          <w:sz w:val="24"/>
        </w:rPr>
      </w:pPr>
      <w:r>
        <w:rPr>
          <w:sz w:val="24"/>
        </w:rPr>
        <w:t>Name:</w:t>
      </w:r>
      <w:r>
        <w:rPr>
          <w:spacing w:val="-11"/>
          <w:sz w:val="24"/>
        </w:rPr>
        <w:t> </w:t>
      </w:r>
      <w:r>
        <w:rPr>
          <w:sz w:val="24"/>
        </w:rPr>
        <w:t>Danielle</w:t>
      </w:r>
      <w:r>
        <w:rPr>
          <w:spacing w:val="-11"/>
          <w:sz w:val="24"/>
        </w:rPr>
        <w:t> </w:t>
      </w:r>
      <w:r>
        <w:rPr>
          <w:sz w:val="24"/>
        </w:rPr>
        <w:t>Wright-Terrell,</w:t>
      </w:r>
      <w:r>
        <w:rPr>
          <w:spacing w:val="-10"/>
          <w:sz w:val="24"/>
        </w:rPr>
        <w:t> </w:t>
      </w:r>
      <w:r>
        <w:rPr>
          <w:spacing w:val="-5"/>
          <w:sz w:val="24"/>
        </w:rPr>
        <w:t>MD</w:t>
      </w:r>
    </w:p>
    <w:p>
      <w:pPr>
        <w:spacing w:before="46"/>
        <w:ind w:left="1733" w:right="951" w:firstLine="0"/>
        <w:jc w:val="center"/>
        <w:rPr>
          <w:sz w:val="24"/>
        </w:rPr>
      </w:pPr>
      <w:r>
        <w:rPr>
          <w:sz w:val="24"/>
        </w:rPr>
        <w:t>Uniformed Services University of Health Sciences, MD 20814, </w:t>
      </w:r>
      <w:r>
        <w:rPr>
          <w:spacing w:val="-5"/>
          <w:sz w:val="24"/>
        </w:rPr>
        <w:t>USA</w:t>
      </w:r>
    </w:p>
    <w:p>
      <w:pPr>
        <w:pStyle w:val="BodyText"/>
        <w:spacing w:before="8"/>
        <w:rPr>
          <w:sz w:val="36"/>
        </w:rPr>
      </w:pPr>
    </w:p>
    <w:p>
      <w:pPr>
        <w:pStyle w:val="BodyText"/>
        <w:spacing w:line="360" w:lineRule="auto"/>
        <w:ind w:left="113" w:right="107" w:firstLine="720"/>
        <w:jc w:val="both"/>
      </w:pPr>
      <w:r>
        <w:rPr/>
        <w:t>The objective of this laboratory study conducted at a university hospital was to determine the effect of relugolix and elagolix on the production of extracellular matrix (ECM) proteins in human leiomyoma cells. The study used cell culture, protein analysis, and immunohistochemistry as interventions to measure the production of various</w:t>
      </w:r>
      <w:r>
        <w:rPr>
          <w:spacing w:val="-3"/>
        </w:rPr>
        <w:t> </w:t>
      </w:r>
      <w:r>
        <w:rPr/>
        <w:t>proteins.</w:t>
      </w:r>
      <w:r>
        <w:rPr>
          <w:spacing w:val="-3"/>
        </w:rPr>
        <w:t> </w:t>
      </w:r>
      <w:r>
        <w:rPr/>
        <w:t>The</w:t>
      </w:r>
      <w:r>
        <w:rPr>
          <w:spacing w:val="-3"/>
        </w:rPr>
        <w:t> </w:t>
      </w:r>
      <w:r>
        <w:rPr/>
        <w:t>main</w:t>
      </w:r>
      <w:r>
        <w:rPr>
          <w:spacing w:val="-3"/>
        </w:rPr>
        <w:t> </w:t>
      </w:r>
      <w:r>
        <w:rPr/>
        <w:t>outcome</w:t>
      </w:r>
      <w:r>
        <w:rPr>
          <w:spacing w:val="-3"/>
        </w:rPr>
        <w:t> </w:t>
      </w:r>
      <w:r>
        <w:rPr/>
        <w:t>measures</w:t>
      </w:r>
      <w:r>
        <w:rPr>
          <w:spacing w:val="-3"/>
        </w:rPr>
        <w:t> </w:t>
      </w:r>
      <w:r>
        <w:rPr/>
        <w:t>were the production of GnRHR, COL1A1, FN1, VCAN, p-ERK, and ERK in treated and untreated leiomyoma cells. The results showed that both drugs decreased ECM protein production and inhibited the MAPK pathway. Specifically, relugolix resulted in decreased production of COL1A1, FN1, and VCAN, while elagolix decreased the production of COL1A1 and FN1. These findings suggest that both drugs have potential therapeutic effects on leiomyoma cells and highlight their utility in being a better, long-term treatment option of abnormal uterine bleeding related to </w:t>
      </w:r>
      <w:r>
        <w:rPr>
          <w:spacing w:val="-2"/>
        </w:rPr>
        <w:t>leiomyoma.</w:t>
      </w:r>
    </w:p>
    <w:p>
      <w:pPr>
        <w:pStyle w:val="BodyText"/>
        <w:rPr>
          <w:sz w:val="24"/>
        </w:rPr>
      </w:pPr>
    </w:p>
    <w:p>
      <w:pPr>
        <w:spacing w:before="138"/>
        <w:ind w:left="113" w:right="0" w:firstLine="0"/>
        <w:jc w:val="left"/>
        <w:rPr>
          <w:b/>
          <w:sz w:val="24"/>
        </w:rPr>
      </w:pPr>
      <w:r>
        <w:rPr>
          <w:b/>
          <w:spacing w:val="-2"/>
          <w:sz w:val="24"/>
        </w:rPr>
        <w:t>Biography</w:t>
      </w:r>
    </w:p>
    <w:p>
      <w:pPr>
        <w:pStyle w:val="BodyText"/>
        <w:spacing w:line="360" w:lineRule="auto" w:before="138"/>
        <w:ind w:left="113" w:right="107"/>
        <w:jc w:val="both"/>
      </w:pPr>
      <w:r>
        <w:rPr/>
        <w:t>Danielle Wright-Terrell is an accomplished obstetrician and gynecologist, currently serving as an Assistant Professor at the Uniformed Services University of the Health Sciences (USUHS) in Bethesda, MD. She</w:t>
      </w:r>
      <w:r>
        <w:rPr>
          <w:spacing w:val="-4"/>
        </w:rPr>
        <w:t> </w:t>
      </w:r>
      <w:r>
        <w:rPr/>
        <w:t>completed</w:t>
      </w:r>
      <w:r>
        <w:rPr>
          <w:spacing w:val="-4"/>
        </w:rPr>
        <w:t> </w:t>
      </w:r>
      <w:r>
        <w:rPr/>
        <w:t>her</w:t>
      </w:r>
      <w:r>
        <w:rPr>
          <w:spacing w:val="-4"/>
        </w:rPr>
        <w:t> </w:t>
      </w:r>
      <w:r>
        <w:rPr/>
        <w:t>Obstetrics</w:t>
      </w:r>
      <w:r>
        <w:rPr>
          <w:spacing w:val="-4"/>
        </w:rPr>
        <w:t> </w:t>
      </w:r>
      <w:r>
        <w:rPr/>
        <w:t>and</w:t>
      </w:r>
      <w:r>
        <w:rPr>
          <w:spacing w:val="-4"/>
        </w:rPr>
        <w:t> </w:t>
      </w:r>
      <w:r>
        <w:rPr/>
        <w:t>Gynecology</w:t>
      </w:r>
      <w:r>
        <w:rPr>
          <w:spacing w:val="-4"/>
        </w:rPr>
        <w:t> </w:t>
      </w:r>
      <w:r>
        <w:rPr/>
        <w:t>Residency</w:t>
      </w:r>
      <w:r>
        <w:rPr>
          <w:spacing w:val="-4"/>
        </w:rPr>
        <w:t> </w:t>
      </w:r>
      <w:r>
        <w:rPr/>
        <w:t>at</w:t>
      </w:r>
      <w:r>
        <w:rPr>
          <w:spacing w:val="-4"/>
        </w:rPr>
        <w:t> </w:t>
      </w:r>
      <w:r>
        <w:rPr/>
        <w:t>the</w:t>
      </w:r>
      <w:r>
        <w:rPr>
          <w:spacing w:val="-4"/>
        </w:rPr>
        <w:t> </w:t>
      </w:r>
      <w:r>
        <w:rPr/>
        <w:t>Medical</w:t>
      </w:r>
      <w:r>
        <w:rPr>
          <w:spacing w:val="-4"/>
        </w:rPr>
        <w:t> </w:t>
      </w:r>
      <w:r>
        <w:rPr/>
        <w:t>University of South Carolina, where she also earned her Doctor of Medicine.</w:t>
      </w:r>
      <w:r>
        <w:rPr>
          <w:spacing w:val="40"/>
        </w:rPr>
        <w:t> </w:t>
      </w:r>
      <w:r>
        <w:rPr/>
        <w:t>She has published multiple articles in prestigious journals, including Fertility and Sterility Science, Military Medicine, and Cureus, and has presented her work at various</w:t>
      </w:r>
      <w:r>
        <w:rPr>
          <w:spacing w:val="-4"/>
        </w:rPr>
        <w:t> </w:t>
      </w:r>
      <w:r>
        <w:rPr/>
        <w:t>conferences.</w:t>
      </w:r>
      <w:r>
        <w:rPr>
          <w:spacing w:val="-4"/>
        </w:rPr>
        <w:t> </w:t>
      </w:r>
      <w:r>
        <w:rPr/>
        <w:t>Her</w:t>
      </w:r>
      <w:r>
        <w:rPr>
          <w:spacing w:val="-4"/>
        </w:rPr>
        <w:t> </w:t>
      </w:r>
      <w:r>
        <w:rPr/>
        <w:t>research</w:t>
      </w:r>
      <w:r>
        <w:rPr>
          <w:spacing w:val="-4"/>
        </w:rPr>
        <w:t> </w:t>
      </w:r>
      <w:r>
        <w:rPr/>
        <w:t>focuses</w:t>
      </w:r>
      <w:r>
        <w:rPr>
          <w:spacing w:val="-4"/>
        </w:rPr>
        <w:t> </w:t>
      </w:r>
      <w:r>
        <w:rPr/>
        <w:t>on</w:t>
      </w:r>
      <w:r>
        <w:rPr>
          <w:spacing w:val="-4"/>
        </w:rPr>
        <w:t> </w:t>
      </w:r>
      <w:r>
        <w:rPr/>
        <w:t>leiomyoma, abnormal uterine bleeding, transgender gynecology, and medical education.</w:t>
      </w:r>
    </w:p>
    <w:p>
      <w:pPr>
        <w:pStyle w:val="BodyText"/>
        <w:rPr>
          <w:sz w:val="24"/>
        </w:rPr>
      </w:pPr>
    </w:p>
    <w:p>
      <w:pPr>
        <w:spacing w:before="138"/>
        <w:ind w:left="113" w:right="0" w:firstLine="0"/>
        <w:jc w:val="left"/>
        <w:rPr>
          <w:b/>
          <w:sz w:val="20"/>
        </w:rPr>
      </w:pPr>
      <w:r>
        <w:rPr>
          <w:b/>
          <w:sz w:val="20"/>
        </w:rPr>
        <w:t>Presenting</w:t>
      </w:r>
      <w:r>
        <w:rPr>
          <w:b/>
          <w:spacing w:val="-8"/>
          <w:sz w:val="20"/>
        </w:rPr>
        <w:t> </w:t>
      </w:r>
      <w:r>
        <w:rPr>
          <w:b/>
          <w:sz w:val="20"/>
        </w:rPr>
        <w:t>author</w:t>
      </w:r>
      <w:r>
        <w:rPr>
          <w:b/>
          <w:spacing w:val="-8"/>
          <w:sz w:val="20"/>
        </w:rPr>
        <w:t> </w:t>
      </w:r>
      <w:r>
        <w:rPr>
          <w:b/>
          <w:spacing w:val="-2"/>
          <w:sz w:val="20"/>
        </w:rPr>
        <w:t>details:</w:t>
      </w:r>
    </w:p>
    <w:p>
      <w:pPr>
        <w:spacing w:before="0"/>
        <w:ind w:left="113" w:right="6790" w:firstLine="0"/>
        <w:jc w:val="left"/>
        <w:rPr>
          <w:sz w:val="20"/>
        </w:rPr>
      </w:pPr>
      <w:r>
        <w:rPr>
          <w:sz w:val="20"/>
        </w:rPr>
        <w:t>Full</w:t>
      </w:r>
      <w:r>
        <w:rPr>
          <w:spacing w:val="-14"/>
          <w:sz w:val="20"/>
        </w:rPr>
        <w:t> </w:t>
      </w:r>
      <w:r>
        <w:rPr>
          <w:sz w:val="20"/>
        </w:rPr>
        <w:t>name:</w:t>
      </w:r>
      <w:r>
        <w:rPr>
          <w:spacing w:val="-14"/>
          <w:sz w:val="20"/>
        </w:rPr>
        <w:t> </w:t>
      </w:r>
      <w:r>
        <w:rPr>
          <w:sz w:val="20"/>
        </w:rPr>
        <w:t>Danielle</w:t>
      </w:r>
      <w:r>
        <w:rPr>
          <w:spacing w:val="-14"/>
          <w:sz w:val="20"/>
        </w:rPr>
        <w:t> </w:t>
      </w:r>
      <w:r>
        <w:rPr>
          <w:sz w:val="20"/>
        </w:rPr>
        <w:t>Wright-Terrell Contact number: 803-402-1666 Twitter account: None</w:t>
      </w:r>
    </w:p>
    <w:p>
      <w:pPr>
        <w:spacing w:before="0"/>
        <w:ind w:left="113" w:right="6937" w:firstLine="0"/>
        <w:jc w:val="left"/>
        <w:rPr>
          <w:sz w:val="20"/>
        </w:rPr>
      </w:pPr>
      <w:r>
        <w:rPr>
          <w:sz w:val="20"/>
        </w:rPr>
        <w:t>Linked</w:t>
      </w:r>
      <w:r>
        <w:rPr>
          <w:spacing w:val="-13"/>
          <w:sz w:val="20"/>
        </w:rPr>
        <w:t> </w:t>
      </w:r>
      <w:r>
        <w:rPr>
          <w:sz w:val="20"/>
        </w:rPr>
        <w:t>In</w:t>
      </w:r>
      <w:r>
        <w:rPr>
          <w:spacing w:val="-13"/>
          <w:sz w:val="20"/>
        </w:rPr>
        <w:t> </w:t>
      </w:r>
      <w:r>
        <w:rPr>
          <w:sz w:val="20"/>
        </w:rPr>
        <w:t>account:</w:t>
      </w:r>
      <w:r>
        <w:rPr>
          <w:spacing w:val="-13"/>
          <w:sz w:val="20"/>
        </w:rPr>
        <w:t> </w:t>
      </w:r>
      <w:r>
        <w:rPr>
          <w:sz w:val="20"/>
        </w:rPr>
        <w:t>None Session name/ number:</w:t>
      </w:r>
    </w:p>
    <w:p>
      <w:pPr>
        <w:spacing w:before="0"/>
        <w:ind w:left="113" w:right="0" w:firstLine="0"/>
        <w:jc w:val="left"/>
        <w:rPr>
          <w:sz w:val="20"/>
        </w:rPr>
      </w:pPr>
      <w:r>
        <w:rPr>
          <w:sz w:val="20"/>
        </w:rPr>
        <w:t>Category:</w:t>
      </w:r>
      <w:r>
        <w:rPr>
          <w:spacing w:val="-8"/>
          <w:sz w:val="20"/>
        </w:rPr>
        <w:t> </w:t>
      </w:r>
      <w:r>
        <w:rPr>
          <w:sz w:val="20"/>
        </w:rPr>
        <w:t>Obstetrics</w:t>
      </w:r>
      <w:r>
        <w:rPr>
          <w:spacing w:val="-7"/>
          <w:sz w:val="20"/>
        </w:rPr>
        <w:t> </w:t>
      </w:r>
      <w:r>
        <w:rPr>
          <w:sz w:val="20"/>
        </w:rPr>
        <w:t>and</w:t>
      </w:r>
      <w:r>
        <w:rPr>
          <w:spacing w:val="-7"/>
          <w:sz w:val="20"/>
        </w:rPr>
        <w:t> </w:t>
      </w:r>
      <w:r>
        <w:rPr>
          <w:spacing w:val="-2"/>
          <w:sz w:val="20"/>
        </w:rPr>
        <w:t>Gynecology</w:t>
      </w:r>
    </w:p>
    <w:sectPr>
      <w:type w:val="continuous"/>
      <w:pgSz w:w="11920" w:h="16840"/>
      <w:pgMar w:top="1020" w:bottom="280" w:left="1020" w:right="1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Title" w:type="paragraph">
    <w:name w:val="Title"/>
    <w:basedOn w:val="Normal"/>
    <w:uiPriority w:val="1"/>
    <w:qFormat/>
    <w:pPr>
      <w:spacing w:line="320" w:lineRule="exact"/>
      <w:ind w:left="113"/>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abstract-template (13).docx</dc:title>
  <dcterms:created xsi:type="dcterms:W3CDTF">2023-05-27T04:52:53Z</dcterms:created>
  <dcterms:modified xsi:type="dcterms:W3CDTF">2023-05-27T04:52:53Z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2023-05-27T00:00:00Z</vt:filetime>
  </property>
  <property fmtid="{D5CDD505-2E9C-101B-9397-08002B2CF9AE}" pid="3" name="LastSaved">
    <vt:filetime>2023-05-27T00:00:00Z</vt:filetime>
  </property>
</Properties>
</file>