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jc w:val="left"/>
      </w:pPr>
      <w:r>
        <w:rPr>
          <w:rFonts w:hint="eastAsia"/>
          <w:color w:val="337AB7"/>
          <w:lang w:val="en-US" w:eastAsia="zh-Hans"/>
        </w:rPr>
        <w:t>Regulation</w:t>
      </w:r>
      <w:r>
        <w:rPr>
          <w:rFonts w:hint="default"/>
          <w:color w:val="337AB7"/>
          <w:lang w:eastAsia="zh-Hans"/>
        </w:rPr>
        <w:t xml:space="preserve"> </w:t>
      </w:r>
      <w:r>
        <w:rPr>
          <w:rFonts w:hint="eastAsia"/>
          <w:color w:val="337AB7"/>
          <w:lang w:val="en-US" w:eastAsia="zh-Hans"/>
        </w:rPr>
        <w:t>of</w:t>
      </w:r>
      <w:r>
        <w:rPr>
          <w:rFonts w:hint="default"/>
          <w:color w:val="337AB7"/>
          <w:lang w:eastAsia="zh-Hans"/>
        </w:rPr>
        <w:t xml:space="preserve"> </w:t>
      </w:r>
      <w:r>
        <w:rPr>
          <w:rFonts w:hint="eastAsia"/>
          <w:color w:val="337AB7"/>
          <w:lang w:val="en-US" w:eastAsia="zh-Hans"/>
        </w:rPr>
        <w:t>Metabolic</w:t>
      </w:r>
      <w:r>
        <w:rPr>
          <w:rFonts w:hint="default"/>
          <w:color w:val="337AB7"/>
          <w:lang w:eastAsia="zh-Hans"/>
        </w:rPr>
        <w:t xml:space="preserve"> Reprogramming in Alveolar Macrophages Alleviates Lipopolysaccgaride-induced Acute Respiratory Distress Syndrome.</w:t>
      </w:r>
    </w:p>
    <w:p>
      <w:pPr>
        <w:pStyle w:val="5"/>
        <w:rPr>
          <w:rFonts w:hint="eastAsia" w:ascii="Arial"/>
        </w:rPr>
      </w:pPr>
      <w:r>
        <w:rPr>
          <w:rFonts w:hint="default" w:ascii="Arial"/>
        </w:rPr>
        <w:t>Bo Liu</w:t>
      </w:r>
      <w:r>
        <w:rPr>
          <w:rFonts w:hint="eastAsia" w:ascii="Arial"/>
        </w:rPr>
        <w:t>, Children's Hospital of Chongqing Medical University/Chongqing Medical University, China</w:t>
      </w:r>
    </w:p>
    <w:p>
      <w:pPr>
        <w:pStyle w:val="5"/>
        <w:rPr>
          <w:rFonts w:hint="eastAsia" w:ascii="Arial"/>
        </w:rPr>
      </w:pPr>
      <w:r>
        <w:rPr>
          <w:rFonts w:hint="default" w:ascii="Arial"/>
        </w:rPr>
        <w:t>Fengxia Ding</w:t>
      </w:r>
      <w:r>
        <w:rPr>
          <w:rFonts w:hint="eastAsia" w:ascii="Arial"/>
        </w:rPr>
        <w:t>, Children's Hospital of Chongqing Medical University/Chongqing Medical University, China</w:t>
      </w:r>
    </w:p>
    <w:p>
      <w:pPr>
        <w:pStyle w:val="5"/>
        <w:rPr>
          <w:rFonts w:hint="eastAsia" w:ascii="Arial"/>
        </w:rPr>
      </w:pPr>
      <w:r>
        <w:rPr>
          <w:rFonts w:hint="default" w:ascii="Arial"/>
        </w:rPr>
        <w:t xml:space="preserve">Yan Li, </w:t>
      </w:r>
      <w:r>
        <w:rPr>
          <w:rFonts w:hint="eastAsia" w:ascii="Arial"/>
        </w:rPr>
        <w:t>Children's Hospital of Chongqing Medical University/Chongqing Medical University, China</w:t>
      </w:r>
    </w:p>
    <w:p>
      <w:pPr>
        <w:pStyle w:val="5"/>
        <w:rPr>
          <w:rFonts w:hint="eastAsia" w:ascii="Arial"/>
        </w:rPr>
      </w:pPr>
      <w:r>
        <w:rPr>
          <w:rFonts w:hint="default" w:ascii="Arial"/>
        </w:rPr>
        <w:t xml:space="preserve">Hongbo Li, </w:t>
      </w:r>
      <w:r>
        <w:rPr>
          <w:rFonts w:hint="eastAsia" w:ascii="Arial"/>
        </w:rPr>
        <w:t>Children's Hospital of Chongqing Medical University/Chongqing Medical University, China</w:t>
      </w:r>
    </w:p>
    <w:p>
      <w:pPr>
        <w:pStyle w:val="5"/>
        <w:rPr>
          <w:rFonts w:hint="default" w:ascii="Arial"/>
        </w:rPr>
      </w:pPr>
      <w:r>
        <w:rPr>
          <w:rFonts w:hint="default" w:ascii="Arial"/>
        </w:rPr>
        <w:t xml:space="preserve">Yonggang Li, </w:t>
      </w:r>
      <w:r>
        <w:rPr>
          <w:rFonts w:hint="eastAsia" w:ascii="Arial"/>
        </w:rPr>
        <w:t>Children's Hospital of Chongqing Medical University/Chongqing Medical University, China</w:t>
      </w:r>
    </w:p>
    <w:p>
      <w:pPr>
        <w:pStyle w:val="5"/>
        <w:rPr>
          <w:rFonts w:hint="default" w:ascii="Arial"/>
        </w:rPr>
      </w:pPr>
      <w:r>
        <w:rPr>
          <w:rFonts w:hint="default" w:ascii="Arial"/>
        </w:rPr>
        <w:t xml:space="preserve">Chun Wu, </w:t>
      </w:r>
      <w:r>
        <w:rPr>
          <w:rFonts w:hint="eastAsia" w:ascii="Arial"/>
        </w:rPr>
        <w:t>Children's Hospital of Chongqing Medical University/Chongqing Medical University, China</w:t>
      </w:r>
    </w:p>
    <w:p>
      <w:pPr>
        <w:pStyle w:val="5"/>
        <w:rPr>
          <w:rFonts w:hint="default" w:ascii="Arial"/>
        </w:rPr>
      </w:pPr>
      <w:r>
        <w:rPr>
          <w:rFonts w:hint="default" w:ascii="Arial"/>
        </w:rPr>
        <w:t xml:space="preserve">Zhengxia Pan, </w:t>
      </w:r>
      <w:r>
        <w:rPr>
          <w:rFonts w:hint="eastAsia" w:ascii="Arial"/>
        </w:rPr>
        <w:t>Children's Hospital of Chongqing Medical University/Chongqing Medical University, China</w:t>
      </w:r>
    </w:p>
    <w:p>
      <w:pPr>
        <w:rPr>
          <w:rFonts w:ascii="Arial"/>
          <w:sz w:val="21"/>
        </w:rPr>
        <w:sectPr>
          <w:footerReference r:id="rId3" w:type="default"/>
          <w:type w:val="continuous"/>
          <w:pgSz w:w="11910" w:h="16840"/>
          <w:pgMar w:top="995" w:right="600" w:bottom="840" w:left="620" w:header="0" w:footer="0" w:gutter="0"/>
          <w:cols w:space="720" w:num="1"/>
          <w:docGrid w:linePitch="299" w:charSpace="0"/>
        </w:sectPr>
      </w:pPr>
    </w:p>
    <w:p>
      <w:pPr>
        <w:pStyle w:val="4"/>
        <w:spacing w:before="147"/>
        <w:jc w:val="both"/>
      </w:pPr>
      <w:r>
        <w:rPr>
          <w:color w:val="BF5A14"/>
        </w:rPr>
        <w:t>Abstract (300 word limit)</w:t>
      </w:r>
    </w:p>
    <w:p>
      <w:pPr>
        <w:pStyle w:val="4"/>
        <w:spacing w:before="74"/>
        <w:jc w:val="both"/>
        <w:rPr>
          <w:rFonts w:hint="eastAsia"/>
          <w:b w:val="0"/>
          <w:lang w:val="en-US" w:eastAsia="zh-Hans"/>
        </w:rPr>
      </w:pPr>
      <w:r>
        <w:rPr>
          <w:rFonts w:hint="eastAsia"/>
          <w:b w:val="0"/>
          <w:lang w:val="en-US" w:eastAsia="zh-Hans"/>
        </w:rPr>
        <w:t>Introduction: Acute respiratory distress syndrome (ARDS) is a common clinical critical illness with a high mortality rate, and currently lacks effective prevention and treatment measures. Imbalance in alveolar macrophage polarization plays a crucial role in the occurrence and development of ARDS, but the specific mechanisms underlying alveolar macrophage polarization are still unclear.</w:t>
      </w:r>
    </w:p>
    <w:p>
      <w:pPr>
        <w:pStyle w:val="4"/>
        <w:spacing w:before="74"/>
        <w:jc w:val="both"/>
        <w:rPr>
          <w:rFonts w:hint="eastAsia"/>
          <w:b w:val="0"/>
          <w:lang w:val="en-US" w:eastAsia="zh-Hans"/>
        </w:rPr>
      </w:pPr>
      <w:r>
        <w:rPr>
          <w:rFonts w:hint="eastAsia"/>
          <w:b w:val="0"/>
          <w:lang w:val="en-US" w:eastAsia="zh-Hans"/>
        </w:rPr>
        <w:t>Methods: In vivo experiments were conducted using intratracheal administration of LPS to establish an ARDS mouse model, while in vitro experiments utilized LPS-induced MH-S mouse alveolar macrophages to observe changes in metabolism and phenotype during ARDS. The therapeutic effects of the addition of the glycolysis inhibitor 2-DG were observed, and the specific mechanisms were explored.</w:t>
      </w:r>
    </w:p>
    <w:p>
      <w:pPr>
        <w:pStyle w:val="4"/>
        <w:spacing w:before="74"/>
        <w:jc w:val="both"/>
        <w:rPr>
          <w:rFonts w:hint="eastAsia"/>
          <w:b w:val="0"/>
          <w:lang w:val="en-US" w:eastAsia="zh-Hans"/>
        </w:rPr>
      </w:pPr>
      <w:r>
        <w:rPr>
          <w:rFonts w:hint="eastAsia"/>
          <w:b w:val="0"/>
          <w:lang w:val="en-US" w:eastAsia="zh-Hans"/>
        </w:rPr>
        <w:t>Results: In LPS-induced ARDS mice, significant inflammatory responses and lung tissue damage were observed, accompanied by an increase in glycolysis levels. The addition of 2-DG markedly alleviated LPS-induced lung injury and reduced inflammation. Mechanistically, LPS induction increased glycolysis levels in alveolar macrophages, promoting polarization towards the M1 pro-inflammatory phenotype. Inhibiting glycolysis shifted alveolar macrophages from the M1 pro-inflammatory phenotype to the M2 anti-inflammatory phenotype.</w:t>
      </w:r>
    </w:p>
    <w:p>
      <w:pPr>
        <w:pStyle w:val="4"/>
        <w:spacing w:before="74"/>
        <w:jc w:val="both"/>
        <w:rPr>
          <w:b w:val="0"/>
        </w:rPr>
      </w:pPr>
      <w:r>
        <w:rPr>
          <w:rFonts w:hint="eastAsia"/>
          <w:b w:val="0"/>
          <w:lang w:val="en-US" w:eastAsia="zh-Hans"/>
        </w:rPr>
        <w:t>Conclusions: Metabolic reprogramming, represented by glycolysis, plays a significant role in alveolar macrophage polarization, and modulating the metabolism of alveolar macrophages may be a potential therapeutic approach for ARDS.</w:t>
      </w:r>
      <w:r>
        <w:rPr>
          <w:b w:val="0"/>
        </w:rPr>
        <w:br w:type="column"/>
      </w:r>
    </w:p>
    <w:p>
      <w:pPr>
        <w:pStyle w:val="4"/>
        <w:spacing w:before="74"/>
        <w:jc w:val="both"/>
      </w:pPr>
      <w:r>
        <w:rPr>
          <w:color w:val="BF5A14"/>
        </w:rPr>
        <w:t>Image</w:t>
      </w:r>
    </w:p>
    <w:p>
      <w:pPr>
        <w:pStyle w:val="5"/>
        <w:spacing w:before="2"/>
        <w:rPr>
          <w:rFonts w:hint="default" w:ascii="Arial"/>
          <w:b/>
          <w:sz w:val="16"/>
        </w:rPr>
      </w:pPr>
      <w:r>
        <w:rPr>
          <w:rFonts w:hint="default" w:ascii="Arial"/>
          <w:b/>
          <w:sz w:val="16"/>
        </w:rPr>
        <w:drawing>
          <wp:inline distT="0" distB="0" distL="114300" distR="114300">
            <wp:extent cx="3387090" cy="951865"/>
            <wp:effectExtent l="0" t="0" r="16510" b="13335"/>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5"/>
                    <a:stretch>
                      <a:fillRect/>
                    </a:stretch>
                  </pic:blipFill>
                  <pic:spPr>
                    <a:xfrm>
                      <a:off x="0" y="0"/>
                      <a:ext cx="3387090" cy="951865"/>
                    </a:xfrm>
                    <a:prstGeom prst="rect">
                      <a:avLst/>
                    </a:prstGeom>
                  </pic:spPr>
                </pic:pic>
              </a:graphicData>
            </a:graphic>
          </wp:inline>
        </w:drawing>
      </w:r>
    </w:p>
    <w:p>
      <w:pPr>
        <w:spacing w:line="204" w:lineRule="exact"/>
        <w:rPr>
          <w:rFonts w:ascii="Arial"/>
          <w:b/>
          <w:sz w:val="20"/>
        </w:rPr>
      </w:pPr>
      <w:r>
        <w:rPr>
          <w:rFonts w:hint="eastAsia" w:ascii="Arial"/>
          <w:b w:val="0"/>
          <w:bCs/>
          <w:color w:val="000000" w:themeColor="text1"/>
          <w:sz w:val="20"/>
          <w14:textFill>
            <w14:solidFill>
              <w14:schemeClr w14:val="tx1"/>
            </w14:solidFill>
          </w14:textFill>
        </w:rPr>
        <w:t>In the lung tissue of ARDS mice, there is evident infiltration of inflammatory cells, thickening of alveolar septa, and interstitial edema. The glycolysis inhibitor 2-DG can alleviate these pathological changes.</w:t>
      </w:r>
      <w:r>
        <w:rPr>
          <w:rFonts w:ascii="Arial"/>
          <w:b/>
          <w:color w:val="BF5A14"/>
          <w:sz w:val="20"/>
        </w:rPr>
        <w:br w:type="textWrapping"/>
      </w:r>
      <w:r>
        <w:rPr>
          <w:rFonts w:ascii="Arial"/>
          <w:b/>
          <w:color w:val="BF5A14"/>
          <w:sz w:val="20"/>
        </w:rPr>
        <w:t>Recent Publications (minimum 5)</w:t>
      </w:r>
    </w:p>
    <w:p>
      <w:pPr>
        <w:tabs>
          <w:tab w:val="left" w:pos="384"/>
        </w:tabs>
        <w:ind w:right="117"/>
        <w:jc w:val="both"/>
        <w:rPr>
          <w:rFonts w:hint="default" w:ascii="Arial Regular" w:hAnsi="Arial Regular" w:cs="Arial Regular"/>
          <w:sz w:val="20"/>
          <w:szCs w:val="20"/>
        </w:rPr>
      </w:pPr>
      <w:r>
        <w:rPr>
          <w:rFonts w:hint="default" w:ascii="Arial Regular" w:hAnsi="Arial Regular" w:cs="Arial Regular"/>
          <w:sz w:val="20"/>
          <w:szCs w:val="20"/>
        </w:rPr>
        <w:t>1</w:t>
      </w:r>
      <w:r>
        <w:rPr>
          <w:rFonts w:hint="eastAsia" w:ascii="Arial Regular" w:hAnsi="Arial Regular" w:cs="Arial Regular"/>
          <w:sz w:val="20"/>
          <w:szCs w:val="20"/>
          <w:lang w:val="en-US" w:eastAsia="zh-Hans"/>
        </w:rPr>
        <w:t>.</w:t>
      </w:r>
      <w:r>
        <w:rPr>
          <w:rFonts w:hint="default" w:ascii="Arial Regular" w:hAnsi="Arial Regular" w:cs="Arial Regular"/>
          <w:sz w:val="20"/>
          <w:szCs w:val="20"/>
        </w:rPr>
        <w:t xml:space="preserve">Liu B, Ding F, Cao D, Liu J, Wang Y and Wu C. Pseudomonas aeruginosa outer membrane vesicles ameliorates lung ischemia-reperfusion injury by regulating the balance of regulatory T cells and Th17 cells through Tim-3 and TLR4/NF-κB pathway. Inflamm Res 2021; 70: 891-902. </w:t>
      </w:r>
    </w:p>
    <w:p>
      <w:pPr>
        <w:tabs>
          <w:tab w:val="left" w:pos="384"/>
        </w:tabs>
        <w:ind w:right="117"/>
        <w:jc w:val="both"/>
        <w:rPr>
          <w:rFonts w:hint="default" w:ascii="Arial Regular" w:hAnsi="Arial Regular" w:cs="Arial Regular"/>
          <w:sz w:val="20"/>
          <w:szCs w:val="20"/>
        </w:rPr>
      </w:pPr>
      <w:r>
        <w:rPr>
          <w:rFonts w:hint="default" w:ascii="Arial Regular" w:hAnsi="Arial Regular" w:cs="Arial Regular"/>
          <w:sz w:val="20"/>
          <w:szCs w:val="20"/>
        </w:rPr>
        <w:t>2</w:t>
      </w:r>
      <w:r>
        <w:rPr>
          <w:rFonts w:hint="eastAsia" w:ascii="Arial Regular" w:hAnsi="Arial Regular" w:cs="Arial Regular"/>
          <w:sz w:val="20"/>
          <w:szCs w:val="20"/>
          <w:lang w:val="en-US" w:eastAsia="zh-Hans"/>
        </w:rPr>
        <w:t>.</w:t>
      </w:r>
      <w:r>
        <w:rPr>
          <w:rFonts w:hint="default" w:ascii="Arial Regular" w:hAnsi="Arial Regular" w:cs="Arial Regular"/>
          <w:sz w:val="20"/>
          <w:szCs w:val="20"/>
        </w:rPr>
        <w:t>Tang Y, Ding F, Wu Chun and Liu B</w:t>
      </w:r>
      <w:r>
        <w:rPr>
          <w:rFonts w:hint="default" w:ascii="Arial Regular" w:hAnsi="Arial Regular" w:cs="Arial Regular"/>
          <w:sz w:val="20"/>
          <w:szCs w:val="20"/>
          <w:vertAlign w:val="superscript"/>
        </w:rPr>
        <w:t>#</w:t>
      </w:r>
      <w:r>
        <w:rPr>
          <w:rFonts w:hint="default" w:ascii="Arial Regular" w:hAnsi="Arial Regular" w:cs="Arial Regular"/>
          <w:sz w:val="20"/>
          <w:szCs w:val="20"/>
        </w:rPr>
        <w:t xml:space="preserve">. hucMSCs conditioned medium ameliorate lipopolysaccharide-induced acute lung injury by suppressing oxidative stress and inflammation via Nrf2/NF-κB signaling pathway. Analytical Cellular Pathology 2021, 2021: 6653681. </w:t>
      </w:r>
    </w:p>
    <w:p>
      <w:pPr>
        <w:tabs>
          <w:tab w:val="left" w:pos="384"/>
        </w:tabs>
        <w:ind w:right="117"/>
        <w:jc w:val="both"/>
        <w:rPr>
          <w:rFonts w:hint="default" w:ascii="Arial Regular" w:hAnsi="Arial Regular" w:cs="Arial Regular"/>
          <w:sz w:val="20"/>
          <w:szCs w:val="20"/>
        </w:rPr>
      </w:pPr>
      <w:r>
        <w:rPr>
          <w:rFonts w:hint="default" w:ascii="Arial Regular" w:hAnsi="Arial Regular" w:cs="Arial Regular"/>
          <w:sz w:val="20"/>
          <w:szCs w:val="20"/>
        </w:rPr>
        <w:t>3</w:t>
      </w:r>
      <w:r>
        <w:rPr>
          <w:rFonts w:hint="eastAsia" w:ascii="Arial Regular" w:hAnsi="Arial Regular" w:cs="Arial Regular"/>
          <w:sz w:val="20"/>
          <w:szCs w:val="20"/>
          <w:lang w:val="en-US" w:eastAsia="zh-Hans"/>
        </w:rPr>
        <w:t>.</w:t>
      </w:r>
      <w:r>
        <w:rPr>
          <w:rFonts w:hint="default" w:ascii="Arial Regular" w:hAnsi="Arial Regular" w:cs="Arial Regular"/>
          <w:sz w:val="20"/>
          <w:szCs w:val="20"/>
        </w:rPr>
        <w:t xml:space="preserve">Liu B, Hu D, Zhou Y, Yu Y, Shen L, Long C, Butnaru D, Timashev P, He D, Lin T, Xu T, Zhang D and Wei G. Exosomes released by human umbilical cord mesenchymal stem cells protect against renal interstitial fibrosis through ROS-mediated P38MAPK/ERK signaling pathway. Am J Transl Res 2020; 12: 4998-5014. </w:t>
      </w:r>
    </w:p>
    <w:p>
      <w:pPr>
        <w:tabs>
          <w:tab w:val="left" w:pos="384"/>
        </w:tabs>
        <w:ind w:right="117"/>
        <w:jc w:val="both"/>
        <w:rPr>
          <w:rFonts w:hint="default" w:ascii="Arial Regular" w:hAnsi="Arial Regular" w:cs="Arial Regular"/>
          <w:sz w:val="20"/>
          <w:szCs w:val="20"/>
        </w:rPr>
      </w:pPr>
      <w:r>
        <w:rPr>
          <w:rFonts w:hint="default" w:ascii="Arial Regular" w:hAnsi="Arial Regular" w:cs="Arial Regular"/>
          <w:sz w:val="20"/>
          <w:szCs w:val="20"/>
        </w:rPr>
        <w:t>4</w:t>
      </w:r>
      <w:r>
        <w:rPr>
          <w:rFonts w:hint="eastAsia" w:ascii="Arial Regular" w:hAnsi="Arial Regular" w:cs="Arial Regular"/>
          <w:sz w:val="20"/>
          <w:szCs w:val="20"/>
          <w:lang w:val="en-US" w:eastAsia="zh-Hans"/>
        </w:rPr>
        <w:t>.</w:t>
      </w:r>
      <w:r>
        <w:rPr>
          <w:rFonts w:hint="default" w:ascii="Arial Regular" w:hAnsi="Arial Regular" w:cs="Arial Regular"/>
          <w:sz w:val="20"/>
          <w:szCs w:val="20"/>
        </w:rPr>
        <w:t xml:space="preserve">Liu B, Ding F, An Y, Li Y, Pan Z, Wang G, Dai J, Li H and Wu C. Occult foreign body aspirations in pediatric patients: 20-years of experience. BMC Pulm Med 2020; 20: 320. </w:t>
      </w:r>
    </w:p>
    <w:p>
      <w:pPr>
        <w:tabs>
          <w:tab w:val="left" w:pos="384"/>
        </w:tabs>
        <w:ind w:right="117"/>
        <w:jc w:val="both"/>
        <w:rPr>
          <w:rFonts w:hint="default" w:ascii="Arial Regular" w:hAnsi="Arial Regular" w:cs="Arial Regular"/>
          <w:sz w:val="20"/>
          <w:szCs w:val="20"/>
        </w:rPr>
      </w:pPr>
      <w:r>
        <w:rPr>
          <w:rFonts w:hint="default" w:ascii="Arial Regular" w:hAnsi="Arial Regular" w:cs="Arial Regular"/>
          <w:sz w:val="20"/>
          <w:szCs w:val="20"/>
        </w:rPr>
        <w:t>5</w:t>
      </w:r>
      <w:r>
        <w:rPr>
          <w:rFonts w:hint="eastAsia" w:ascii="Arial Regular" w:hAnsi="Arial Regular" w:cs="Arial Regular"/>
          <w:sz w:val="20"/>
          <w:szCs w:val="20"/>
          <w:lang w:val="en-US" w:eastAsia="zh-Hans"/>
        </w:rPr>
        <w:t>.</w:t>
      </w:r>
      <w:r>
        <w:rPr>
          <w:rFonts w:hint="default" w:ascii="Arial Regular" w:hAnsi="Arial Regular" w:cs="Arial Regular"/>
          <w:sz w:val="20"/>
          <w:szCs w:val="20"/>
        </w:rPr>
        <w:t xml:space="preserve">Liu B, Ding F, Hu D, Zhou Y, Long C, Shen L, Zhang Y, Zhang D and Wei G. Human umbilical cord mesenchymal stem cell conditioned medium attenuates renal fibrosis by reducing inflammation and epithelial-to-mesenchymal transition via the TLR4/NF-κB signaling pathway in vivo and in vitro. Stem Cell Res Ther 2018; 9: 7. </w:t>
      </w:r>
    </w:p>
    <w:p>
      <w:pPr>
        <w:tabs>
          <w:tab w:val="left" w:pos="384"/>
        </w:tabs>
        <w:ind w:right="117"/>
        <w:jc w:val="both"/>
        <w:rPr>
          <w:rFonts w:hint="default" w:ascii="Arial Regular" w:hAnsi="Arial Regular" w:cs="Arial Regular"/>
          <w:sz w:val="20"/>
          <w:szCs w:val="20"/>
        </w:rPr>
      </w:pPr>
    </w:p>
    <w:p>
      <w:pPr>
        <w:tabs>
          <w:tab w:val="left" w:pos="384"/>
        </w:tabs>
        <w:ind w:right="117"/>
        <w:jc w:val="both"/>
        <w:rPr>
          <w:rFonts w:hint="default" w:ascii="Arial Regular" w:hAnsi="Arial Regular" w:cs="Arial Regular"/>
          <w:sz w:val="20"/>
          <w:szCs w:val="20"/>
        </w:rPr>
      </w:pPr>
    </w:p>
    <w:p>
      <w:pPr>
        <w:tabs>
          <w:tab w:val="left" w:pos="384"/>
        </w:tabs>
        <w:ind w:right="117"/>
        <w:jc w:val="both"/>
        <w:rPr>
          <w:rFonts w:hint="default" w:ascii="Arial Regular" w:hAnsi="Arial Regular" w:cs="Arial Regular"/>
          <w:sz w:val="20"/>
          <w:szCs w:val="20"/>
        </w:rPr>
      </w:pPr>
    </w:p>
    <w:p>
      <w:pPr>
        <w:tabs>
          <w:tab w:val="left" w:pos="384"/>
        </w:tabs>
        <w:ind w:right="117"/>
        <w:jc w:val="both"/>
        <w:rPr>
          <w:rFonts w:hint="default" w:ascii="Arial Regular" w:hAnsi="Arial Regular" w:cs="Arial Regular"/>
          <w:sz w:val="20"/>
          <w:szCs w:val="20"/>
        </w:rPr>
      </w:pPr>
    </w:p>
    <w:p>
      <w:pPr>
        <w:tabs>
          <w:tab w:val="left" w:pos="384"/>
        </w:tabs>
        <w:ind w:right="117"/>
        <w:jc w:val="both"/>
        <w:rPr>
          <w:rFonts w:hint="default" w:ascii="Arial Regular" w:hAnsi="Arial Regular" w:cs="Arial Regular"/>
          <w:sz w:val="20"/>
          <w:szCs w:val="20"/>
        </w:rPr>
      </w:pPr>
    </w:p>
    <w:p>
      <w:pPr>
        <w:tabs>
          <w:tab w:val="left" w:pos="384"/>
        </w:tabs>
        <w:ind w:right="117"/>
        <w:jc w:val="both"/>
        <w:rPr>
          <w:rFonts w:hint="default" w:ascii="Arial Regular" w:hAnsi="Arial Regular" w:cs="Arial Regular"/>
          <w:sz w:val="20"/>
          <w:szCs w:val="20"/>
        </w:rPr>
      </w:pPr>
    </w:p>
    <w:p>
      <w:pPr>
        <w:tabs>
          <w:tab w:val="left" w:pos="384"/>
        </w:tabs>
        <w:ind w:right="117"/>
        <w:jc w:val="both"/>
        <w:rPr>
          <w:rFonts w:hint="default" w:ascii="Arial Regular" w:hAnsi="Arial Regular" w:cs="Arial Regular"/>
          <w:sz w:val="20"/>
          <w:szCs w:val="20"/>
        </w:rPr>
      </w:pPr>
    </w:p>
    <w:p>
      <w:pPr>
        <w:tabs>
          <w:tab w:val="left" w:pos="384"/>
        </w:tabs>
        <w:ind w:right="117"/>
        <w:jc w:val="both"/>
        <w:rPr>
          <w:rFonts w:hint="default" w:ascii="Arial Regular" w:hAnsi="Arial Regular" w:cs="Arial Regular"/>
          <w:sz w:val="20"/>
          <w:szCs w:val="20"/>
        </w:rPr>
      </w:pPr>
    </w:p>
    <w:p>
      <w:pPr>
        <w:tabs>
          <w:tab w:val="left" w:pos="384"/>
        </w:tabs>
        <w:ind w:right="117"/>
        <w:jc w:val="both"/>
        <w:rPr>
          <w:rFonts w:hint="default" w:ascii="Arial Regular" w:hAnsi="Arial Regular" w:cs="Arial Regular"/>
          <w:sz w:val="20"/>
          <w:szCs w:val="20"/>
        </w:rPr>
      </w:pPr>
    </w:p>
    <w:p>
      <w:pPr>
        <w:tabs>
          <w:tab w:val="left" w:pos="384"/>
        </w:tabs>
        <w:ind w:right="117"/>
        <w:jc w:val="both"/>
        <w:rPr>
          <w:rFonts w:hint="default" w:ascii="Arial Regular" w:hAnsi="Arial Regular" w:cs="Arial Regular"/>
          <w:sz w:val="20"/>
          <w:szCs w:val="20"/>
        </w:rPr>
      </w:pPr>
    </w:p>
    <w:p>
      <w:pPr>
        <w:tabs>
          <w:tab w:val="left" w:pos="384"/>
        </w:tabs>
        <w:ind w:right="117"/>
        <w:jc w:val="both"/>
        <w:rPr>
          <w:rFonts w:hint="default" w:ascii="Arial Regular" w:hAnsi="Arial Regular" w:cs="Arial Regular"/>
          <w:sz w:val="20"/>
          <w:szCs w:val="20"/>
        </w:rPr>
      </w:pPr>
    </w:p>
    <w:p>
      <w:pPr>
        <w:spacing w:line="200" w:lineRule="exact"/>
        <w:jc w:val="both"/>
        <w:rPr>
          <w:rFonts w:ascii="Calibri" w:hAnsi="Calibri"/>
        </w:rPr>
        <w:sectPr>
          <w:type w:val="continuous"/>
          <w:pgSz w:w="11910" w:h="16840"/>
          <w:pgMar w:top="995" w:right="600" w:bottom="840" w:left="620" w:header="720" w:footer="720" w:gutter="0"/>
          <w:cols w:equalWidth="0" w:num="2">
            <w:col w:w="5214" w:space="138"/>
            <w:col w:w="5338"/>
          </w:cols>
        </w:sectPr>
      </w:pPr>
      <w:r>
        <w:rPr>
          <w:rFonts w:ascii="Calibri" w:hAnsi="Calibri"/>
        </w:rPr>
        <w:t xml:space="preserve">   </w:t>
      </w:r>
    </w:p>
    <w:p>
      <w:pPr>
        <w:pStyle w:val="5"/>
        <w:rPr>
          <w:rFonts w:ascii="Calibri"/>
          <w:sz w:val="20"/>
        </w:rPr>
      </w:pPr>
    </w:p>
    <w:p>
      <w:pPr>
        <w:pStyle w:val="5"/>
        <w:spacing w:line="40" w:lineRule="exact"/>
        <w:ind w:left="2202"/>
        <w:rPr>
          <w:rFonts w:ascii="Calibri"/>
          <w:sz w:val="4"/>
        </w:rPr>
      </w:pPr>
      <w:r>
        <w:rPr>
          <w:rFonts w:ascii="Calibri"/>
          <w:sz w:val="4"/>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Jkl&#10;EGHUAAAAAwEAAA8AAAAAAAAAAQAgAAAAOAAAAGRycy9kb3ducmV2LnhtbFBLAQIUABQAAAAIAIdO&#10;4kBcG6qHEQIAAJUEAAAOAAAAAAAAAAEAIAAAADkBAABkcnMvZTJvRG9jLnhtbFBLBQYAAAAABgAG&#10;AFkBAAC8BQAAAAA=&#10;">
                <o:lock v:ext="edit" aspectratio="f"/>
                <v:line id="Line 5" o:spid="_x0000_s1026" o:spt="20" style="position:absolute;left:20;top:20;height:0;width:6221;" filled="f" stroked="t" coordsize="21600,21600" o:gfxdata="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Je08buQAAANsAAAAPAAAAAAAAAAEAIAAAADgAAABkcnMvZG93bnJldi54bWxQ&#10;SwECFAAUAAAACACHTuJAMy8FnjsAAAA5AAAAEAAAAAAAAAABACAAAAAeAQAAZHJzL3NoYXBleG1s&#10;LnhtbFBLBQYAAAAABgAGAFsBAADIAwAAAAA=&#10;">
                  <v:fill on="f" focussize="0,0"/>
                  <v:stroke weight="2pt" color="#004080" joinstyle="round"/>
                  <v:imagedata o:title=""/>
                  <o:lock v:ext="edit" aspectratio="f"/>
                </v:line>
                <w10:wrap type="none"/>
                <w10:anchorlock/>
              </v:group>
            </w:pict>
          </mc:Fallback>
        </mc:AlternateContent>
      </w:r>
    </w:p>
    <w:p>
      <w:pPr>
        <w:spacing w:before="92"/>
        <w:ind w:right="4234"/>
        <w:rPr>
          <w:rFonts w:ascii="Times New Roman" w:hAnsi="Times New Roman" w:cs="Times New Roman"/>
          <w:sz w:val="24"/>
          <w:szCs w:val="24"/>
        </w:rPr>
      </w:pPr>
      <w:r>
        <w:t xml:space="preserve">              </w:t>
      </w:r>
      <w:r>
        <w:rPr>
          <w:rFonts w:ascii="Arial"/>
          <w:color w:val="BF5A14"/>
        </w:rPr>
        <w:drawing>
          <wp:inline distT="0" distB="0" distL="114300" distR="114300">
            <wp:extent cx="899160" cy="1258570"/>
            <wp:effectExtent l="0" t="0" r="15240" b="11430"/>
            <wp:docPr id="4" name="图片 4" descr="1O1CN01CBJi811K9v7mVmj6B_!!6000000001122-0-dingzhi_one_inch_v2_w_si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O1CN01CBJi811K9v7mVmj6B_!!6000000001122-0-dingzhi_one_inch_v2_w_single"/>
                    <pic:cNvPicPr>
                      <a:picLocks noChangeAspect="1"/>
                    </pic:cNvPicPr>
                  </pic:nvPicPr>
                  <pic:blipFill>
                    <a:blip r:embed="rId6"/>
                    <a:stretch>
                      <a:fillRect/>
                    </a:stretch>
                  </pic:blipFill>
                  <pic:spPr>
                    <a:xfrm>
                      <a:off x="0" y="0"/>
                      <a:ext cx="899160" cy="1258570"/>
                    </a:xfrm>
                    <a:prstGeom prst="rect">
                      <a:avLst/>
                    </a:prstGeom>
                  </pic:spPr>
                </pic:pic>
              </a:graphicData>
            </a:graphic>
          </wp:inline>
        </w:drawing>
      </w:r>
      <w:r>
        <w:rPr>
          <w:rFonts w:ascii="Arial"/>
          <w:color w:val="BF5A14"/>
        </w:rPr>
        <w:t>Biography (150 word limit)</w:t>
      </w:r>
      <w:r>
        <w:rPr>
          <w:rFonts w:ascii="Times New Roman" w:hAnsi="Times New Roman" w:cs="Times New Roman"/>
          <w:sz w:val="24"/>
          <w:szCs w:val="24"/>
        </w:rPr>
        <w:t xml:space="preserve"> </w:t>
      </w:r>
    </w:p>
    <w:p>
      <w:pPr>
        <w:spacing w:before="92"/>
        <w:ind w:right="4234"/>
        <w:jc w:val="both"/>
        <w:rPr>
          <w:rFonts w:hint="default" w:ascii="Arial Regular" w:hAnsi="Arial Regular" w:cs="Arial Regular"/>
          <w:sz w:val="20"/>
          <w:szCs w:val="20"/>
        </w:rPr>
      </w:pPr>
      <w:r>
        <w:rPr>
          <w:rFonts w:hint="default" w:ascii="Arial Regular" w:hAnsi="Arial Regular" w:cs="Arial Regular"/>
          <w:sz w:val="20"/>
          <w:szCs w:val="20"/>
        </w:rPr>
        <w:t xml:space="preserve">Bo </w:t>
      </w:r>
      <w:r>
        <w:rPr>
          <w:rFonts w:hint="eastAsia" w:ascii="Arial Regular" w:hAnsi="Arial Regular" w:cs="Arial Regular"/>
          <w:sz w:val="20"/>
          <w:szCs w:val="20"/>
          <w:lang w:val="en-US" w:eastAsia="zh-Hans"/>
        </w:rPr>
        <w:t>Liu</w:t>
      </w:r>
      <w:r>
        <w:rPr>
          <w:rFonts w:hint="default" w:ascii="Arial Regular" w:hAnsi="Arial Regular" w:cs="Arial Regular"/>
          <w:sz w:val="20"/>
          <w:szCs w:val="20"/>
        </w:rPr>
        <w:t xml:space="preserve"> is a cardiothoracic surgeon who has been working at the Children's Hospital of Chongqing Medical University for 7 years. His primary responsibilities include providing diagnosis and treatment for thoracic and cardiovascular-related diseases, training and educating medical students, and conducting research on the mechanisms and prevention of acute lung injury. Over the course of his career, </w:t>
      </w:r>
      <w:r>
        <w:rPr>
          <w:rFonts w:hint="eastAsia" w:ascii="Arial Regular" w:hAnsi="Arial Regular" w:cs="Arial Regular"/>
          <w:sz w:val="20"/>
          <w:szCs w:val="20"/>
          <w:lang w:val="en-US" w:eastAsia="zh-Hans"/>
        </w:rPr>
        <w:t>Bo</w:t>
      </w:r>
      <w:r>
        <w:rPr>
          <w:rFonts w:hint="default" w:ascii="Arial Regular" w:hAnsi="Arial Regular" w:cs="Arial Regular"/>
          <w:sz w:val="20"/>
          <w:szCs w:val="20"/>
          <w:lang w:eastAsia="zh-Hans"/>
        </w:rPr>
        <w:t xml:space="preserve"> </w:t>
      </w:r>
      <w:r>
        <w:rPr>
          <w:rFonts w:hint="eastAsia" w:ascii="Arial Regular" w:hAnsi="Arial Regular" w:cs="Arial Regular"/>
          <w:sz w:val="20"/>
          <w:szCs w:val="20"/>
          <w:lang w:val="en-US" w:eastAsia="zh-Hans"/>
        </w:rPr>
        <w:t>Liu</w:t>
      </w:r>
      <w:r>
        <w:rPr>
          <w:rFonts w:hint="default" w:ascii="Arial Regular" w:hAnsi="Arial Regular" w:cs="Arial Regular"/>
          <w:sz w:val="20"/>
          <w:szCs w:val="20"/>
        </w:rPr>
        <w:t xml:space="preserve"> has published numerous research articles in reputable medical journals and has been invited to speak at various international conferences. He is highly respected among his peers and patients alike for his dedication to providing high-quality medical care and his commitment to advancing medical knowledge through research and education.</w:t>
      </w:r>
    </w:p>
    <w:p>
      <w:pPr>
        <w:spacing w:before="62"/>
        <w:ind w:left="4217" w:right="4235"/>
        <w:jc w:val="center"/>
        <w:rPr>
          <w:rFonts w:hint="default" w:ascii="Arial" w:eastAsia="Tw Cen MT"/>
          <w:sz w:val="20"/>
          <w:szCs w:val="20"/>
          <w:lang w:val="en-US" w:eastAsia="zh-Hans"/>
        </w:rPr>
      </w:pPr>
      <w:r>
        <w:rPr>
          <w:rFonts w:ascii="Arial"/>
          <w:sz w:val="20"/>
          <w:szCs w:val="20"/>
        </w:rPr>
        <w:t>Email:</w:t>
      </w:r>
      <w:r>
        <w:rPr>
          <w:rFonts w:hint="default" w:ascii="Arial Regular" w:hAnsi="Arial Regular" w:cs="Arial Regular"/>
          <w:sz w:val="20"/>
          <w:szCs w:val="20"/>
        </w:rPr>
        <w:t xml:space="preserve"> </w:t>
      </w:r>
      <w:r>
        <w:rPr>
          <w:rFonts w:hint="default" w:ascii="Arial Regular" w:hAnsi="Arial Regular" w:cs="Arial Regular"/>
          <w:sz w:val="20"/>
          <w:szCs w:val="20"/>
          <w:lang w:eastAsia="zh-Hans"/>
        </w:rPr>
        <w:t>liubo</w:t>
      </w:r>
      <w:r>
        <w:rPr>
          <w:rFonts w:hint="default" w:ascii="Arial Regular" w:hAnsi="Arial Regular" w:cs="Arial Regular"/>
          <w:sz w:val="20"/>
          <w:szCs w:val="20"/>
          <w:lang w:eastAsia="zh-Hans"/>
        </w:rPr>
        <w:t>@hospital.cqmu.edu.cn</w:t>
      </w:r>
    </w:p>
    <w:p>
      <w:pPr>
        <w:pStyle w:val="5"/>
        <w:spacing w:before="2"/>
        <w:rPr>
          <w:rFonts w:ascii="Arial"/>
          <w:sz w:val="19"/>
        </w:rPr>
      </w:pPr>
      <w:r>
        <mc:AlternateContent>
          <mc:Choice Requires="wps">
            <w:drawing>
              <wp:anchor distT="0" distB="0" distL="0" distR="0" simplePos="0" relativeHeight="25166028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51660288;mso-width-relative:page;mso-height-relative:page;" filled="f" stroked="t" coordsize="21600,21600" o:gfxdata="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DilAb9YAAAAJAQAA&#10;DwAAAAAAAAABACAAAAA4AAAAZHJzL2Rvd25yZXYueG1sUEsBAhQAFAAAAAgAh07iQI2PukbMAQAA&#10;oAMAAA4AAAAAAAAAAQAgAAAAOwEAAGRycy9lMm9Eb2MueG1sUEsFBgAAAAAGAAYAWQEAAHkFAAAA&#10;AA==&#10;">
                <v:fill on="f" focussize="0,0"/>
                <v:stroke weight="0.5pt" color="#004080" joinstyle="round"/>
                <v:imagedata o:title=""/>
                <o:lock v:ext="edit" aspectratio="f"/>
                <w10:wrap type="topAndBottom"/>
              </v:line>
            </w:pict>
          </mc:Fallback>
        </mc:AlternateContent>
      </w:r>
    </w:p>
    <w:p>
      <w:pPr>
        <w:pStyle w:val="5"/>
        <w:rPr>
          <w:rFonts w:ascii="Arial"/>
          <w:sz w:val="20"/>
        </w:rPr>
      </w:pPr>
    </w:p>
    <w:p>
      <w:pPr>
        <w:pStyle w:val="5"/>
        <w:rPr>
          <w:rFonts w:ascii="Arial"/>
          <w:sz w:val="20"/>
        </w:rPr>
      </w:pPr>
    </w:p>
    <w:p>
      <w:pPr>
        <w:pStyle w:val="5"/>
        <w:spacing w:before="7"/>
        <w:rPr>
          <w:rFonts w:ascii="Arial"/>
          <w:sz w:val="29"/>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995" w:right="600" w:bottom="840" w:left="620" w:header="720" w:footer="720" w:gutter="0"/>
          <w:cols w:space="720" w:num="1"/>
        </w:sectPr>
      </w:pPr>
    </w:p>
    <w:p>
      <w:pPr>
        <w:jc w:val="both"/>
        <w:rPr>
          <w:b/>
        </w:rPr>
      </w:pPr>
      <w:r>
        <w:rPr>
          <w:b/>
        </w:rPr>
        <w:t xml:space="preserve">Presenting author details </w:t>
      </w:r>
    </w:p>
    <w:p>
      <w:pPr>
        <w:jc w:val="both"/>
        <w:rPr>
          <w:rFonts w:hint="default" w:eastAsia="Tw Cen MT"/>
          <w:lang w:val="en-US" w:eastAsia="zh-Hans"/>
        </w:rPr>
      </w:pPr>
      <w:r>
        <w:t xml:space="preserve">Full name: </w:t>
      </w:r>
      <w:r>
        <w:rPr>
          <w:rFonts w:hint="eastAsia"/>
          <w:lang w:val="en-US" w:eastAsia="zh-Hans"/>
        </w:rPr>
        <w:t>Bo</w:t>
      </w:r>
      <w:r>
        <w:rPr>
          <w:rFonts w:hint="default"/>
          <w:lang w:eastAsia="zh-Hans"/>
        </w:rPr>
        <w:t xml:space="preserve"> </w:t>
      </w:r>
      <w:r>
        <w:rPr>
          <w:rFonts w:hint="eastAsia"/>
          <w:lang w:val="en-US" w:eastAsia="zh-Hans"/>
        </w:rPr>
        <w:t>Liu</w:t>
      </w:r>
    </w:p>
    <w:p>
      <w:pPr>
        <w:jc w:val="both"/>
      </w:pPr>
      <w:r>
        <w:t>Contact number:+</w:t>
      </w:r>
      <w:r>
        <w:rPr>
          <w:rFonts w:hint="default"/>
        </w:rPr>
        <w:t>44 7423752243</w:t>
      </w:r>
    </w:p>
    <w:p>
      <w:pPr>
        <w:jc w:val="both"/>
      </w:pPr>
      <w:r>
        <w:t xml:space="preserve">Mail id: </w:t>
      </w:r>
      <w:r>
        <w:rPr>
          <w:rFonts w:hint="default"/>
        </w:rPr>
        <w:t>liubo</w:t>
      </w:r>
      <w:bookmarkStart w:id="0" w:name="_GoBack"/>
      <w:bookmarkEnd w:id="0"/>
      <w:r>
        <w:rPr>
          <w:rFonts w:hint="eastAsia"/>
        </w:rPr>
        <w:t>@hospital.cqmu.edu.cn</w:t>
      </w:r>
    </w:p>
    <w:p>
      <w:pPr>
        <w:jc w:val="both"/>
      </w:pPr>
      <w:r>
        <w:t xml:space="preserve">Category: (Oral presentation) </w:t>
      </w:r>
    </w:p>
    <w:p>
      <w:pPr>
        <w:pStyle w:val="5"/>
        <w:spacing w:before="3"/>
        <w:rPr>
          <w:rFonts w:ascii="Minion Pro"/>
          <w:sz w:val="26"/>
        </w:rPr>
      </w:pPr>
    </w:p>
    <w:sectPr>
      <w:type w:val="continuous"/>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86"/>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Calibri">
    <w:altName w:val="Helvetica Neue"/>
    <w:panose1 w:val="020F0502020204030204"/>
    <w:charset w:val="86"/>
    <w:family w:val="swiss"/>
    <w:pitch w:val="default"/>
    <w:sig w:usb0="00000000" w:usb1="00000000" w:usb2="00000001" w:usb3="00000000" w:csb0="0000019F" w:csb1="00000000"/>
  </w:font>
  <w:font w:name="Calibri">
    <w:altName w:val="Helvetica Neue"/>
    <w:panose1 w:val="00000000000000000000"/>
    <w:charset w:val="00"/>
    <w:family w:val="auto"/>
    <w:pitch w:val="default"/>
    <w:sig w:usb0="00000000" w:usb1="00000000" w:usb2="00000000" w:usb3="00000000" w:csb0="00000000" w:csb1="00000000"/>
  </w:font>
  <w:font w:name="Tw Cen MT">
    <w:altName w:val="苹方-简"/>
    <w:panose1 w:val="00000000000000000000"/>
    <w:charset w:val="00"/>
    <w:family w:val="swiss"/>
    <w:pitch w:val="default"/>
    <w:sig w:usb0="00000000" w:usb1="00000000" w:usb2="00000000" w:usb3="00000000" w:csb0="00000001" w:csb1="00000000"/>
  </w:font>
  <w:font w:name="苹方-简">
    <w:panose1 w:val="020B0400000000000000"/>
    <w:charset w:val="86"/>
    <w:family w:val="auto"/>
    <w:pitch w:val="default"/>
    <w:sig w:usb0="00000000" w:usb1="00000000" w:usb2="00000000" w:usb3="00000000" w:csb0="00160000" w:csb1="00000000"/>
  </w:font>
  <w:font w:name="Minion Pro">
    <w:altName w:val="苹方-简"/>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00000000" w:usb1="00000000" w:usb2="00000000" w:usb3="00000000" w:csb0="00000000" w:csb1="00000000"/>
  </w:font>
  <w:font w:name="Impact">
    <w:panose1 w:val="020B0806030902050204"/>
    <w:charset w:val="00"/>
    <w:family w:val="swiss"/>
    <w:pitch w:val="default"/>
    <w:sig w:usb0="00000000" w:usb1="00000000" w:usb2="00000000" w:usb3="00000000" w:csb0="00000000" w:csb1="00000000"/>
  </w:font>
  <w:font w:name="Arial Regular">
    <w:panose1 w:val="020B0604020202020204"/>
    <w:charset w:val="00"/>
    <w:family w:val="auto"/>
    <w:pitch w:val="default"/>
    <w:sig w:usb0="00000000" w:usb1="00000000" w:usb2="00000000" w:usb3="00000000" w:csb0="00000000" w:csb1="00000000"/>
  </w:font>
  <w:font w:name="PingFang SC">
    <w:panose1 w:val="020B0400000000000000"/>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251655168;mso-width-relative:page;mso-height-relative:page;" filled="f" stroked="f" coordsize="21600,21600" o:gfxdata="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WAAAAZHJzL1BLAQIUABQAAAAIAIdO4kAQCW6k2gAAAAwBAAAPAAAA&#10;AAAAAAEAIAAAADgAAABkcnMvZG93bnJldi54bWxQSwECFAAUAAAACACHTuJAeyk7Sf0BAAAEBAAA&#10;DgAAAAAAAAABACAAAAA/AQAAZHJzL2Uyb0RvYy54bWxQSwUGAAAAAAYABgBZAQAArgU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mc:AlternateContent>
        <mc:Choice Requires="wps">
          <w:drawing>
            <wp:anchor distT="0" distB="0" distL="114300" distR="114300" simplePos="0" relativeHeight="25166131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251655168;mso-width-relative:page;mso-height-relative:page;" filled="f" stroked="f" coordsize="21600,21600" o:gfxdata="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H4DWCTaAAAADQEAAA8AAAAA&#10;AAAAAQAgAAAAOAAAAGRycy9kb3ducmV2LnhtbFBLAQIUABQAAAAIAIdO4kCgaEw9/AEAAAQEAAAO&#10;AAAAAAAAAAEAIAAAAD8BAABkcnMvZTJvRG9jLnhtbFBLBQYAAAAABgAGAFkBAACtBQ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mc:AlternateContent>
        <mc:Choice Requires="wps">
          <w:drawing>
            <wp:anchor distT="0" distB="0" distL="114300" distR="114300" simplePos="0" relativeHeight="25166131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251655168;mso-width-relative:page;mso-height-relative:page;" filled="f" stroked="f" coordsize="21600,21600" o:gfxdata="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MGzGdnbAAAADgEAAA8AAAAA&#10;AAAAAQAgAAAAOAAAAGRycy9kb3ducmV2LnhtbFBLAQIUABQAAAAIAIdO4kDxnVs7+wEAAAQEAAAO&#10;AAAAAAAAAAEAIAAAAEABAABkcnMvZTJvRG9jLnhtbFBLBQYAAAAABgAGAFkBAACtBQ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51D9B"/>
    <w:rsid w:val="00380299"/>
    <w:rsid w:val="00404E5B"/>
    <w:rsid w:val="00414F7B"/>
    <w:rsid w:val="004355DC"/>
    <w:rsid w:val="004749B4"/>
    <w:rsid w:val="00494130"/>
    <w:rsid w:val="004F3523"/>
    <w:rsid w:val="005973B9"/>
    <w:rsid w:val="005B3A56"/>
    <w:rsid w:val="006060CE"/>
    <w:rsid w:val="0061505C"/>
    <w:rsid w:val="0063497F"/>
    <w:rsid w:val="00714354"/>
    <w:rsid w:val="00873DF0"/>
    <w:rsid w:val="008756E6"/>
    <w:rsid w:val="00897EC5"/>
    <w:rsid w:val="008E5477"/>
    <w:rsid w:val="009B2D44"/>
    <w:rsid w:val="00A07E82"/>
    <w:rsid w:val="00A52075"/>
    <w:rsid w:val="00A9710C"/>
    <w:rsid w:val="00AE3E37"/>
    <w:rsid w:val="00B21A57"/>
    <w:rsid w:val="00C33602"/>
    <w:rsid w:val="00C56C74"/>
    <w:rsid w:val="00CD6F55"/>
    <w:rsid w:val="00DE3104"/>
    <w:rsid w:val="00DE6170"/>
    <w:rsid w:val="00E30AAC"/>
    <w:rsid w:val="00E95D97"/>
    <w:rsid w:val="00F046EA"/>
    <w:rsid w:val="00F72EEA"/>
    <w:rsid w:val="00F84CAE"/>
    <w:rsid w:val="00FA41DE"/>
    <w:rsid w:val="3BADF895"/>
    <w:rsid w:val="3F7D222A"/>
    <w:rsid w:val="5EB775B3"/>
    <w:rsid w:val="72B76303"/>
    <w:rsid w:val="76EC2102"/>
    <w:rsid w:val="BFD7EE8E"/>
    <w:rsid w:val="EFBF34F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semiHidden/>
    <w:unhideWhenUsed/>
    <w:uiPriority w:val="99"/>
    <w:rPr>
      <w:rFonts w:ascii="Tahoma" w:hAnsi="Tahoma" w:cs="Tahoma"/>
      <w:sz w:val="16"/>
      <w:szCs w:val="16"/>
    </w:rPr>
  </w:style>
  <w:style w:type="paragraph" w:styleId="7">
    <w:name w:val="footer"/>
    <w:basedOn w:val="1"/>
    <w:link w:val="15"/>
    <w:unhideWhenUsed/>
    <w:uiPriority w:val="99"/>
    <w:pPr>
      <w:tabs>
        <w:tab w:val="center" w:pos="4513"/>
        <w:tab w:val="right" w:pos="9026"/>
      </w:tabs>
    </w:pPr>
  </w:style>
  <w:style w:type="paragraph" w:styleId="8">
    <w:name w:val="header"/>
    <w:basedOn w:val="1"/>
    <w:link w:val="14"/>
    <w:unhideWhenUsed/>
    <w:uiPriority w:val="99"/>
    <w:pPr>
      <w:tabs>
        <w:tab w:val="center" w:pos="4513"/>
        <w:tab w:val="right" w:pos="9026"/>
      </w:tabs>
    </w:pPr>
  </w:style>
  <w:style w:type="character" w:styleId="11">
    <w:name w:val="Hyperlink"/>
    <w:basedOn w:val="10"/>
    <w:unhideWhenUsed/>
    <w:uiPriority w:val="99"/>
    <w:rPr>
      <w:color w:val="0000FF" w:themeColor="hyperlink"/>
      <w:u w:val="single"/>
      <w14:textFill>
        <w14:solidFill>
          <w14:schemeClr w14:val="hlink"/>
        </w14:solidFill>
      </w14:textFill>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10"/>
    <w:link w:val="8"/>
    <w:uiPriority w:val="99"/>
    <w:rPr>
      <w:rFonts w:ascii="Tw Cen MT" w:hAnsi="Tw Cen MT" w:eastAsia="Tw Cen MT" w:cs="Tw Cen MT"/>
    </w:rPr>
  </w:style>
  <w:style w:type="character" w:customStyle="1" w:styleId="15">
    <w:name w:val="Footer Char"/>
    <w:basedOn w:val="10"/>
    <w:link w:val="7"/>
    <w:uiPriority w:val="99"/>
    <w:rPr>
      <w:rFonts w:ascii="Tw Cen MT" w:hAnsi="Tw Cen MT" w:eastAsia="Tw Cen MT" w:cs="Tw Cen MT"/>
    </w:rPr>
  </w:style>
  <w:style w:type="character" w:customStyle="1" w:styleId="16">
    <w:name w:val="Balloon Text Char"/>
    <w:basedOn w:val="10"/>
    <w:link w:val="6"/>
    <w:semiHidden/>
    <w:uiPriority w:val="99"/>
    <w:rPr>
      <w:rFonts w:ascii="Tahoma" w:hAnsi="Tahoma" w:eastAsia="Tw Cen MT" w:cs="Tahoma"/>
      <w:sz w:val="16"/>
      <w:szCs w:val="16"/>
    </w:rPr>
  </w:style>
  <w:style w:type="character" w:customStyle="1" w:styleId="17">
    <w:name w:val="Body Text Char"/>
    <w:basedOn w:val="10"/>
    <w:link w:val="5"/>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566</Words>
  <Characters>3232</Characters>
  <Lines>26</Lines>
  <Paragraphs>7</Paragraphs>
  <TotalTime>1</TotalTime>
  <ScaleCrop>false</ScaleCrop>
  <LinksUpToDate>false</LinksUpToDate>
  <CharactersWithSpaces>3791</CharactersWithSpaces>
  <Application>WPS Office_5.4.0.7913_F1E327BC-269C-435d-A152-05C5408002CA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2016-08-31T16:08:00Z</dcterms:created>
  <dc:creator>mehaboobi shaik</dc:creator>
  <cp:lastModifiedBy>丁丁</cp:lastModifiedBy>
  <dcterms:modified xsi:type="dcterms:W3CDTF">2023-05-25T23:50:58Z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2052-5.4.0.7913</vt:lpwstr>
  </property>
  <property fmtid="{D5CDD505-2E9C-101B-9397-08002B2CF9AE}" pid="6" name="ICV">
    <vt:lpwstr>6F3605F32EB133A0C2286D64C4EAC89B_42</vt:lpwstr>
  </property>
</Properties>
</file>