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B98" w:rsidRDefault="00C91B98" w:rsidP="00C91B98">
      <w:pPr>
        <w:jc w:val="center"/>
        <w:rPr>
          <w:rFonts w:cstheme="minorHAnsi"/>
          <w:sz w:val="32"/>
          <w:szCs w:val="32"/>
        </w:rPr>
      </w:pPr>
      <w:r w:rsidRPr="00C91B98">
        <w:rPr>
          <w:rFonts w:cstheme="minorHAnsi"/>
          <w:b/>
          <w:bCs/>
          <w:sz w:val="32"/>
          <w:szCs w:val="32"/>
          <w:u w:val="single"/>
        </w:rPr>
        <w:t>“A STUDY ON HYDROIMPLANTATION OF INTRAOCULAR LENS (IOL) IN CATARACT SURGERY USING ANTERIOR CHAMBER MAINTAINER</w:t>
      </w:r>
      <w:r w:rsidRPr="00C91B98">
        <w:rPr>
          <w:rFonts w:cstheme="minorHAnsi"/>
          <w:sz w:val="32"/>
          <w:szCs w:val="32"/>
        </w:rPr>
        <w:t>”</w:t>
      </w:r>
    </w:p>
    <w:p w:rsidR="00073596" w:rsidRDefault="00073596" w:rsidP="00073596">
      <w:pPr>
        <w:pStyle w:val="NoSpacing"/>
      </w:pPr>
      <w:r>
        <w:t>Dr Tanisha Chaudhary</w:t>
      </w:r>
    </w:p>
    <w:p w:rsidR="00073596" w:rsidRDefault="00073596" w:rsidP="00073596">
      <w:pPr>
        <w:pStyle w:val="NoSpacing"/>
      </w:pPr>
      <w:r>
        <w:t>M.S Ophthalmology Third year resident</w:t>
      </w:r>
    </w:p>
    <w:p w:rsidR="00073596" w:rsidRDefault="00073596" w:rsidP="00073596">
      <w:pPr>
        <w:pStyle w:val="NoSpacing"/>
      </w:pPr>
      <w:r>
        <w:t>Jamnagar, India.</w:t>
      </w:r>
    </w:p>
    <w:p w:rsidR="00073596" w:rsidRPr="00C91B98" w:rsidRDefault="00073596" w:rsidP="00073596">
      <w:pPr>
        <w:pStyle w:val="NoSpacing"/>
      </w:pPr>
      <w:bookmarkStart w:id="0" w:name="_GoBack"/>
      <w:bookmarkEnd w:id="0"/>
    </w:p>
    <w:p w:rsidR="00735C60" w:rsidRPr="00C91B98" w:rsidRDefault="00735C60" w:rsidP="00735C60">
      <w:pPr>
        <w:jc w:val="both"/>
        <w:rPr>
          <w:rFonts w:ascii="Times New Roman" w:hAnsi="Times New Roman" w:cs="Times New Roman"/>
          <w:sz w:val="20"/>
          <w:szCs w:val="20"/>
          <w:lang w:val="en-US"/>
        </w:rPr>
      </w:pPr>
      <w:r w:rsidRPr="00C91B98">
        <w:rPr>
          <w:rFonts w:ascii="Times New Roman" w:hAnsi="Times New Roman" w:cs="Times New Roman"/>
          <w:sz w:val="20"/>
          <w:szCs w:val="20"/>
          <w:lang w:val="en-US"/>
        </w:rPr>
        <w:t>Statement of the Study-</w:t>
      </w:r>
      <w:proofErr w:type="spellStart"/>
      <w:r w:rsidRPr="00C91B98">
        <w:rPr>
          <w:rFonts w:ascii="Times New Roman" w:hAnsi="Times New Roman" w:cs="Times New Roman"/>
          <w:sz w:val="20"/>
          <w:szCs w:val="20"/>
          <w:lang w:val="en-US"/>
        </w:rPr>
        <w:t>Hydroimplantation</w:t>
      </w:r>
      <w:proofErr w:type="spellEnd"/>
      <w:r w:rsidRPr="00C91B98">
        <w:rPr>
          <w:rFonts w:ascii="Times New Roman" w:hAnsi="Times New Roman" w:cs="Times New Roman"/>
          <w:sz w:val="20"/>
          <w:szCs w:val="20"/>
          <w:lang w:val="en-US"/>
        </w:rPr>
        <w:t xml:space="preserve"> is a technique for implantation of </w:t>
      </w:r>
      <w:proofErr w:type="gramStart"/>
      <w:r w:rsidRPr="00C91B98">
        <w:rPr>
          <w:rFonts w:ascii="Times New Roman" w:hAnsi="Times New Roman" w:cs="Times New Roman"/>
          <w:sz w:val="20"/>
          <w:szCs w:val="20"/>
          <w:lang w:val="en-US"/>
        </w:rPr>
        <w:t>1 piece</w:t>
      </w:r>
      <w:proofErr w:type="gramEnd"/>
      <w:r w:rsidRPr="00C91B98">
        <w:rPr>
          <w:rFonts w:ascii="Times New Roman" w:hAnsi="Times New Roman" w:cs="Times New Roman"/>
          <w:sz w:val="20"/>
          <w:szCs w:val="20"/>
          <w:lang w:val="en-US"/>
        </w:rPr>
        <w:t xml:space="preserve"> acrylic foldable Intraocular Lens (IOL) using an irrigating cannula of the </w:t>
      </w:r>
      <w:proofErr w:type="spellStart"/>
      <w:r w:rsidRPr="00C91B98">
        <w:rPr>
          <w:rFonts w:ascii="Times New Roman" w:hAnsi="Times New Roman" w:cs="Times New Roman"/>
          <w:sz w:val="20"/>
          <w:szCs w:val="20"/>
          <w:lang w:val="en-US"/>
        </w:rPr>
        <w:t>Phacomachine</w:t>
      </w:r>
      <w:proofErr w:type="spellEnd"/>
      <w:r w:rsidRPr="00C91B98">
        <w:rPr>
          <w:rFonts w:ascii="Times New Roman" w:hAnsi="Times New Roman" w:cs="Times New Roman"/>
          <w:sz w:val="20"/>
          <w:szCs w:val="20"/>
          <w:lang w:val="en-US"/>
        </w:rPr>
        <w:t xml:space="preserve"> also known as Anterior Chamber Maintainer (ACM) without using an Ophthalmic </w:t>
      </w:r>
      <w:proofErr w:type="spellStart"/>
      <w:r w:rsidRPr="00C91B98">
        <w:rPr>
          <w:rFonts w:ascii="Times New Roman" w:hAnsi="Times New Roman" w:cs="Times New Roman"/>
          <w:sz w:val="20"/>
          <w:szCs w:val="20"/>
          <w:lang w:val="en-US"/>
        </w:rPr>
        <w:t>Viscosurgical</w:t>
      </w:r>
      <w:proofErr w:type="spellEnd"/>
      <w:r w:rsidRPr="00C91B98">
        <w:rPr>
          <w:rFonts w:ascii="Times New Roman" w:hAnsi="Times New Roman" w:cs="Times New Roman"/>
          <w:sz w:val="20"/>
          <w:szCs w:val="20"/>
          <w:lang w:val="en-US"/>
        </w:rPr>
        <w:t xml:space="preserve"> Device (OVD). The irrigating cannula introduced through a side port provides excellent stability and positioning of the eye; if required, the cannula tip is used to guide the leading haptic of the IOL into the capsular bag. The fluid coming from the side port via a bimanual irrigation cannula maintains adequate formation of the capsular bag and the anterior chamber while the foldable IOL is inserted. </w:t>
      </w:r>
    </w:p>
    <w:p w:rsidR="00735C60" w:rsidRPr="00C91B98" w:rsidRDefault="00735C60" w:rsidP="00735C60">
      <w:pPr>
        <w:jc w:val="both"/>
        <w:rPr>
          <w:rFonts w:ascii="Times New Roman" w:hAnsi="Times New Roman" w:cs="Times New Roman"/>
          <w:sz w:val="20"/>
          <w:szCs w:val="20"/>
          <w:lang w:val="en-US"/>
        </w:rPr>
      </w:pPr>
      <w:r w:rsidRPr="00C91B98">
        <w:rPr>
          <w:rFonts w:ascii="Times New Roman" w:hAnsi="Times New Roman" w:cs="Times New Roman"/>
          <w:sz w:val="20"/>
          <w:szCs w:val="20"/>
          <w:lang w:val="en-US"/>
        </w:rPr>
        <w:t xml:space="preserve">The </w:t>
      </w:r>
      <w:proofErr w:type="spellStart"/>
      <w:r w:rsidRPr="00C91B98">
        <w:rPr>
          <w:rFonts w:ascii="Times New Roman" w:hAnsi="Times New Roman" w:cs="Times New Roman"/>
          <w:sz w:val="20"/>
          <w:szCs w:val="20"/>
          <w:lang w:val="en-US"/>
        </w:rPr>
        <w:t>hydroimplantation</w:t>
      </w:r>
      <w:proofErr w:type="spellEnd"/>
      <w:r w:rsidRPr="00C91B98">
        <w:rPr>
          <w:rFonts w:ascii="Times New Roman" w:hAnsi="Times New Roman" w:cs="Times New Roman"/>
          <w:sz w:val="20"/>
          <w:szCs w:val="20"/>
          <w:lang w:val="en-US"/>
        </w:rPr>
        <w:t xml:space="preserve"> technique has the advantage of increased efficiency, reduced surgical time and cost, no need of OVD removal from behind the IOL or for additional instrumentation, no OVD-induced intraocular pressure elevation postoperatively and no risk of early capsular bag distention syndrome. In addition, sudden delivery of IOL is prevented by the screw type mechanism which allows only a limited </w:t>
      </w:r>
      <w:proofErr w:type="spellStart"/>
      <w:r w:rsidRPr="00C91B98">
        <w:rPr>
          <w:rFonts w:ascii="Times New Roman" w:hAnsi="Times New Roman" w:cs="Times New Roman"/>
          <w:sz w:val="20"/>
          <w:szCs w:val="20"/>
          <w:lang w:val="en-US"/>
        </w:rPr>
        <w:t>excrusion</w:t>
      </w:r>
      <w:proofErr w:type="spellEnd"/>
      <w:r w:rsidRPr="00C91B98">
        <w:rPr>
          <w:rFonts w:ascii="Times New Roman" w:hAnsi="Times New Roman" w:cs="Times New Roman"/>
          <w:sz w:val="20"/>
          <w:szCs w:val="20"/>
          <w:lang w:val="en-US"/>
        </w:rPr>
        <w:t xml:space="preserve"> of the plunger.</w:t>
      </w:r>
    </w:p>
    <w:p w:rsidR="00735C60" w:rsidRPr="00C91B98" w:rsidRDefault="00735C60" w:rsidP="00735C60">
      <w:pPr>
        <w:jc w:val="both"/>
        <w:rPr>
          <w:rFonts w:ascii="Times New Roman" w:hAnsi="Times New Roman" w:cs="Times New Roman"/>
          <w:sz w:val="20"/>
          <w:szCs w:val="20"/>
          <w:lang w:val="en-US"/>
        </w:rPr>
      </w:pPr>
      <w:r w:rsidRPr="00C91B98">
        <w:rPr>
          <w:sz w:val="20"/>
          <w:szCs w:val="20"/>
        </w:rPr>
        <w:t>Purpose-</w:t>
      </w:r>
      <w:r w:rsidRPr="00C91B98">
        <w:rPr>
          <w:rFonts w:ascii="Times New Roman" w:hAnsi="Times New Roman" w:cs="Times New Roman"/>
          <w:sz w:val="20"/>
          <w:szCs w:val="20"/>
          <w:lang w:val="en-US"/>
        </w:rPr>
        <w:t xml:space="preserve"> To study the safety of single piece, foldable Intraocular Lens (IOL) </w:t>
      </w:r>
      <w:proofErr w:type="spellStart"/>
      <w:r w:rsidRPr="00C91B98">
        <w:rPr>
          <w:rFonts w:ascii="Times New Roman" w:hAnsi="Times New Roman" w:cs="Times New Roman"/>
          <w:sz w:val="20"/>
          <w:szCs w:val="20"/>
          <w:lang w:val="en-US"/>
        </w:rPr>
        <w:t>Hydroimplantation</w:t>
      </w:r>
      <w:proofErr w:type="spellEnd"/>
      <w:r w:rsidRPr="00C91B98">
        <w:rPr>
          <w:rFonts w:ascii="Times New Roman" w:hAnsi="Times New Roman" w:cs="Times New Roman"/>
          <w:sz w:val="20"/>
          <w:szCs w:val="20"/>
          <w:lang w:val="en-US"/>
        </w:rPr>
        <w:t xml:space="preserve"> and </w:t>
      </w:r>
      <w:proofErr w:type="spellStart"/>
      <w:r w:rsidRPr="00C91B98">
        <w:rPr>
          <w:rFonts w:ascii="Times New Roman" w:hAnsi="Times New Roman" w:cs="Times New Roman"/>
          <w:sz w:val="20"/>
          <w:szCs w:val="20"/>
          <w:lang w:val="en-US"/>
        </w:rPr>
        <w:t>analyse</w:t>
      </w:r>
      <w:proofErr w:type="spellEnd"/>
      <w:r w:rsidRPr="00C91B98">
        <w:rPr>
          <w:rFonts w:ascii="Times New Roman" w:hAnsi="Times New Roman" w:cs="Times New Roman"/>
          <w:sz w:val="20"/>
          <w:szCs w:val="20"/>
          <w:lang w:val="en-US"/>
        </w:rPr>
        <w:t xml:space="preserve"> the advantages and complications of the procedure.</w:t>
      </w:r>
    </w:p>
    <w:p w:rsidR="00735C60" w:rsidRPr="00C91B98" w:rsidRDefault="00735C60" w:rsidP="00735C60">
      <w:pPr>
        <w:rPr>
          <w:sz w:val="20"/>
          <w:szCs w:val="20"/>
          <w:lang w:val="en-US"/>
        </w:rPr>
      </w:pPr>
      <w:r w:rsidRPr="00C91B98">
        <w:rPr>
          <w:sz w:val="20"/>
          <w:szCs w:val="20"/>
        </w:rPr>
        <w:t>Methodology-</w:t>
      </w:r>
      <w:r w:rsidRPr="00C91B98">
        <w:rPr>
          <w:sz w:val="20"/>
          <w:szCs w:val="20"/>
          <w:lang w:val="en-US"/>
        </w:rPr>
        <w:t xml:space="preserve"> The study is a prospective cross-sectional study. This Interventional Study was conducted between 2020 to 2022 on 25 patients including indoor patients for cataract surgery. The study was conducted in Department of Ophthalmology, Shri </w:t>
      </w:r>
      <w:proofErr w:type="spellStart"/>
      <w:r w:rsidRPr="00C91B98">
        <w:rPr>
          <w:sz w:val="20"/>
          <w:szCs w:val="20"/>
          <w:lang w:val="en-US"/>
        </w:rPr>
        <w:t>M.</w:t>
      </w:r>
      <w:proofErr w:type="gramStart"/>
      <w:r w:rsidRPr="00C91B98">
        <w:rPr>
          <w:sz w:val="20"/>
          <w:szCs w:val="20"/>
          <w:lang w:val="en-US"/>
        </w:rPr>
        <w:t>P.Shah</w:t>
      </w:r>
      <w:proofErr w:type="spellEnd"/>
      <w:proofErr w:type="gramEnd"/>
      <w:r w:rsidRPr="00C91B98">
        <w:rPr>
          <w:sz w:val="20"/>
          <w:szCs w:val="20"/>
          <w:lang w:val="en-US"/>
        </w:rPr>
        <w:t xml:space="preserve"> Government Medical College and Guru Gobind Singh Hospital, Jamnagar. Informed consent was obtained from all patients and nature of study was explained.</w:t>
      </w:r>
    </w:p>
    <w:p w:rsidR="00735C60" w:rsidRPr="00C91B98" w:rsidRDefault="00735C60" w:rsidP="00735C60">
      <w:pPr>
        <w:rPr>
          <w:sz w:val="20"/>
          <w:szCs w:val="20"/>
          <w:lang w:val="en-US"/>
        </w:rPr>
      </w:pPr>
      <w:r w:rsidRPr="00C91B98">
        <w:rPr>
          <w:sz w:val="20"/>
          <w:szCs w:val="20"/>
          <w:lang w:val="en-US"/>
        </w:rPr>
        <w:t xml:space="preserve">Findings: All patients underwent </w:t>
      </w:r>
      <w:proofErr w:type="spellStart"/>
      <w:r w:rsidRPr="00C91B98">
        <w:rPr>
          <w:sz w:val="20"/>
          <w:szCs w:val="20"/>
          <w:lang w:val="en-US"/>
        </w:rPr>
        <w:t>hydroimplantation</w:t>
      </w:r>
      <w:proofErr w:type="spellEnd"/>
      <w:r w:rsidRPr="00C91B98">
        <w:rPr>
          <w:sz w:val="20"/>
          <w:szCs w:val="20"/>
          <w:lang w:val="en-US"/>
        </w:rPr>
        <w:t xml:space="preserve"> of IOL using Anterior Chamber Maintainer. The time taken for surgery and </w:t>
      </w:r>
      <w:proofErr w:type="spellStart"/>
      <w:r w:rsidRPr="00C91B98">
        <w:rPr>
          <w:sz w:val="20"/>
          <w:szCs w:val="20"/>
          <w:lang w:val="en-US"/>
        </w:rPr>
        <w:t>post operative</w:t>
      </w:r>
      <w:proofErr w:type="spellEnd"/>
      <w:r w:rsidRPr="00C91B98">
        <w:rPr>
          <w:sz w:val="20"/>
          <w:szCs w:val="20"/>
          <w:lang w:val="en-US"/>
        </w:rPr>
        <w:t xml:space="preserve"> IOP was noted. The mean time taken for </w:t>
      </w:r>
      <w:proofErr w:type="spellStart"/>
      <w:r w:rsidRPr="00C91B98">
        <w:rPr>
          <w:sz w:val="20"/>
          <w:szCs w:val="20"/>
          <w:lang w:val="en-US"/>
        </w:rPr>
        <w:t>hydroimplantation</w:t>
      </w:r>
      <w:proofErr w:type="spellEnd"/>
      <w:r w:rsidRPr="00C91B98">
        <w:rPr>
          <w:sz w:val="20"/>
          <w:szCs w:val="20"/>
          <w:lang w:val="en-US"/>
        </w:rPr>
        <w:t xml:space="preserve"> of IOL was much less compared to </w:t>
      </w:r>
      <w:proofErr w:type="spellStart"/>
      <w:r w:rsidRPr="00C91B98">
        <w:rPr>
          <w:sz w:val="20"/>
          <w:szCs w:val="20"/>
          <w:lang w:val="en-US"/>
        </w:rPr>
        <w:t>viscoimplantation</w:t>
      </w:r>
      <w:proofErr w:type="spellEnd"/>
      <w:r w:rsidRPr="00C91B98">
        <w:rPr>
          <w:sz w:val="20"/>
          <w:szCs w:val="20"/>
          <w:lang w:val="en-US"/>
        </w:rPr>
        <w:t>. No post-operative Intraocular pressure spikes were observed.</w:t>
      </w:r>
    </w:p>
    <w:p w:rsidR="00735C60" w:rsidRPr="00C91B98" w:rsidRDefault="00735C60" w:rsidP="00735C60">
      <w:pPr>
        <w:rPr>
          <w:rFonts w:ascii="Cambria" w:eastAsia="Times New Roman" w:hAnsi="Cambria" w:cs="Times New Roman"/>
          <w:color w:val="212121"/>
          <w:sz w:val="20"/>
          <w:szCs w:val="20"/>
          <w:lang w:val="en" w:eastAsia="en-IN" w:bidi="hi-IN"/>
        </w:rPr>
      </w:pPr>
      <w:r w:rsidRPr="00C91B98">
        <w:rPr>
          <w:sz w:val="20"/>
          <w:szCs w:val="20"/>
          <w:lang w:val="en-US"/>
        </w:rPr>
        <w:t>Conclusion and Significance-</w:t>
      </w:r>
      <w:r w:rsidRPr="00C91B98">
        <w:rPr>
          <w:rFonts w:ascii="Cambria" w:eastAsia="Times New Roman" w:hAnsi="Cambria" w:cs="Times New Roman"/>
          <w:color w:val="212121"/>
          <w:sz w:val="20"/>
          <w:szCs w:val="20"/>
          <w:lang w:eastAsia="en-IN" w:bidi="hi-IN"/>
        </w:rPr>
        <w:t xml:space="preserve"> This study shows that </w:t>
      </w:r>
      <w:proofErr w:type="spellStart"/>
      <w:r w:rsidRPr="00C91B98">
        <w:rPr>
          <w:rFonts w:ascii="Cambria" w:eastAsia="Times New Roman" w:hAnsi="Cambria" w:cs="Times New Roman"/>
          <w:color w:val="212121"/>
          <w:sz w:val="20"/>
          <w:szCs w:val="20"/>
          <w:lang w:val="en" w:eastAsia="en-IN" w:bidi="hi-IN"/>
        </w:rPr>
        <w:t>hydroimplantation</w:t>
      </w:r>
      <w:proofErr w:type="spellEnd"/>
      <w:r w:rsidRPr="00C91B98">
        <w:rPr>
          <w:rFonts w:ascii="Cambria" w:eastAsia="Times New Roman" w:hAnsi="Cambria" w:cs="Times New Roman"/>
          <w:color w:val="212121"/>
          <w:sz w:val="20"/>
          <w:szCs w:val="20"/>
          <w:lang w:val="en" w:eastAsia="en-IN" w:bidi="hi-IN"/>
        </w:rPr>
        <w:t xml:space="preserve"> has advantages in terms of IOP changes and duration of the surgery.</w:t>
      </w:r>
    </w:p>
    <w:p w:rsidR="00735C60" w:rsidRPr="00C91B98" w:rsidRDefault="00735C60" w:rsidP="00735C60">
      <w:pPr>
        <w:rPr>
          <w:rFonts w:ascii="Cambria" w:eastAsia="Times New Roman" w:hAnsi="Cambria" w:cs="Times New Roman"/>
          <w:color w:val="212121"/>
          <w:sz w:val="20"/>
          <w:szCs w:val="20"/>
          <w:lang w:eastAsia="en-IN" w:bidi="hi-IN"/>
        </w:rPr>
      </w:pPr>
      <w:r w:rsidRPr="00C91B98">
        <w:rPr>
          <w:rFonts w:ascii="Cambria" w:eastAsia="Times New Roman" w:hAnsi="Cambria" w:cs="Times New Roman"/>
          <w:color w:val="212121"/>
          <w:sz w:val="20"/>
          <w:szCs w:val="20"/>
          <w:lang w:eastAsia="en-IN" w:bidi="hi-IN"/>
        </w:rPr>
        <w:t xml:space="preserve">The degree of </w:t>
      </w:r>
      <w:proofErr w:type="spellStart"/>
      <w:r w:rsidRPr="00C91B98">
        <w:rPr>
          <w:rFonts w:ascii="Cambria" w:eastAsia="Times New Roman" w:hAnsi="Cambria" w:cs="Times New Roman"/>
          <w:color w:val="212121"/>
          <w:sz w:val="20"/>
          <w:szCs w:val="20"/>
          <w:lang w:eastAsia="en-IN" w:bidi="hi-IN"/>
        </w:rPr>
        <w:t>post operative</w:t>
      </w:r>
      <w:proofErr w:type="spellEnd"/>
      <w:r w:rsidRPr="00C91B98">
        <w:rPr>
          <w:rFonts w:ascii="Cambria" w:eastAsia="Times New Roman" w:hAnsi="Cambria" w:cs="Times New Roman"/>
          <w:color w:val="212121"/>
          <w:sz w:val="20"/>
          <w:szCs w:val="20"/>
          <w:lang w:eastAsia="en-IN" w:bidi="hi-IN"/>
        </w:rPr>
        <w:t xml:space="preserve"> corneal </w:t>
      </w:r>
      <w:proofErr w:type="spellStart"/>
      <w:r w:rsidRPr="00C91B98">
        <w:rPr>
          <w:rFonts w:ascii="Cambria" w:eastAsia="Times New Roman" w:hAnsi="Cambria" w:cs="Times New Roman"/>
          <w:color w:val="212121"/>
          <w:sz w:val="20"/>
          <w:szCs w:val="20"/>
          <w:lang w:eastAsia="en-IN" w:bidi="hi-IN"/>
        </w:rPr>
        <w:t>edema</w:t>
      </w:r>
      <w:proofErr w:type="spellEnd"/>
      <w:r w:rsidRPr="00C91B98">
        <w:rPr>
          <w:rFonts w:ascii="Cambria" w:eastAsia="Times New Roman" w:hAnsi="Cambria" w:cs="Times New Roman"/>
          <w:color w:val="212121"/>
          <w:sz w:val="20"/>
          <w:szCs w:val="20"/>
          <w:lang w:eastAsia="en-IN" w:bidi="hi-IN"/>
        </w:rPr>
        <w:t xml:space="preserve"> at 1</w:t>
      </w:r>
      <w:r w:rsidRPr="00C91B98">
        <w:rPr>
          <w:rFonts w:ascii="Cambria" w:eastAsia="Times New Roman" w:hAnsi="Cambria" w:cs="Times New Roman"/>
          <w:color w:val="212121"/>
          <w:sz w:val="20"/>
          <w:szCs w:val="20"/>
          <w:vertAlign w:val="superscript"/>
          <w:lang w:eastAsia="en-IN" w:bidi="hi-IN"/>
        </w:rPr>
        <w:t>st</w:t>
      </w:r>
      <w:r w:rsidRPr="00C91B98">
        <w:rPr>
          <w:rFonts w:ascii="Cambria" w:eastAsia="Times New Roman" w:hAnsi="Cambria" w:cs="Times New Roman"/>
          <w:color w:val="212121"/>
          <w:sz w:val="20"/>
          <w:szCs w:val="20"/>
          <w:lang w:eastAsia="en-IN" w:bidi="hi-IN"/>
        </w:rPr>
        <w:t xml:space="preserve"> operative day was low grade. Even AC inflammation was mild.</w:t>
      </w:r>
    </w:p>
    <w:p w:rsidR="00735C60" w:rsidRPr="00C91B98" w:rsidRDefault="00735C60" w:rsidP="00735C60">
      <w:pPr>
        <w:rPr>
          <w:rFonts w:ascii="Cambria" w:eastAsia="Times New Roman" w:hAnsi="Cambria" w:cs="Times New Roman"/>
          <w:color w:val="212121"/>
          <w:sz w:val="20"/>
          <w:szCs w:val="20"/>
          <w:lang w:eastAsia="en-IN" w:bidi="hi-IN"/>
        </w:rPr>
      </w:pPr>
      <w:r w:rsidRPr="00C91B98">
        <w:rPr>
          <w:rFonts w:ascii="Cambria" w:eastAsia="Times New Roman" w:hAnsi="Cambria" w:cs="Times New Roman"/>
          <w:color w:val="212121"/>
          <w:sz w:val="20"/>
          <w:szCs w:val="20"/>
          <w:lang w:eastAsia="en-IN" w:bidi="hi-IN"/>
        </w:rPr>
        <w:t xml:space="preserve">In the present times where people want to be operated with less operative time and rapid </w:t>
      </w:r>
      <w:proofErr w:type="spellStart"/>
      <w:r w:rsidRPr="00C91B98">
        <w:rPr>
          <w:rFonts w:ascii="Cambria" w:eastAsia="Times New Roman" w:hAnsi="Cambria" w:cs="Times New Roman"/>
          <w:color w:val="212121"/>
          <w:sz w:val="20"/>
          <w:szCs w:val="20"/>
          <w:lang w:eastAsia="en-IN" w:bidi="hi-IN"/>
        </w:rPr>
        <w:t>post operative</w:t>
      </w:r>
      <w:proofErr w:type="spellEnd"/>
      <w:r w:rsidRPr="00C91B98">
        <w:rPr>
          <w:rFonts w:ascii="Cambria" w:eastAsia="Times New Roman" w:hAnsi="Cambria" w:cs="Times New Roman"/>
          <w:color w:val="212121"/>
          <w:sz w:val="20"/>
          <w:szCs w:val="20"/>
          <w:lang w:eastAsia="en-IN" w:bidi="hi-IN"/>
        </w:rPr>
        <w:t xml:space="preserve"> visual rehabilitation, cataract surgeries including </w:t>
      </w:r>
      <w:proofErr w:type="spellStart"/>
      <w:r w:rsidRPr="00C91B98">
        <w:rPr>
          <w:rFonts w:ascii="Cambria" w:eastAsia="Times New Roman" w:hAnsi="Cambria" w:cs="Times New Roman"/>
          <w:color w:val="212121"/>
          <w:sz w:val="20"/>
          <w:szCs w:val="20"/>
          <w:lang w:eastAsia="en-IN" w:bidi="hi-IN"/>
        </w:rPr>
        <w:t>hydroimplantation</w:t>
      </w:r>
      <w:proofErr w:type="spellEnd"/>
      <w:r w:rsidRPr="00C91B98">
        <w:rPr>
          <w:rFonts w:ascii="Cambria" w:eastAsia="Times New Roman" w:hAnsi="Cambria" w:cs="Times New Roman"/>
          <w:color w:val="212121"/>
          <w:sz w:val="20"/>
          <w:szCs w:val="20"/>
          <w:lang w:eastAsia="en-IN" w:bidi="hi-IN"/>
        </w:rPr>
        <w:t xml:space="preserve"> of IOL is one of the best options.</w:t>
      </w:r>
    </w:p>
    <w:p w:rsidR="00735C60" w:rsidRDefault="00735C60" w:rsidP="00643B89">
      <w:pPr>
        <w:rPr>
          <w:sz w:val="28"/>
          <w:szCs w:val="28"/>
          <w:lang w:val="en-US"/>
        </w:rPr>
      </w:pPr>
    </w:p>
    <w:p w:rsidR="00643B89" w:rsidRDefault="00643B89" w:rsidP="00643B89">
      <w:pPr>
        <w:rPr>
          <w:sz w:val="28"/>
          <w:szCs w:val="28"/>
          <w:lang w:val="en-US"/>
        </w:rPr>
      </w:pPr>
      <w:r>
        <w:rPr>
          <w:sz w:val="28"/>
          <w:szCs w:val="28"/>
          <w:lang w:val="en-US"/>
        </w:rPr>
        <w:t>Image</w:t>
      </w:r>
    </w:p>
    <w:p w:rsidR="00643B89" w:rsidRDefault="00643B89" w:rsidP="00643B89">
      <w:pPr>
        <w:rPr>
          <w:sz w:val="28"/>
          <w:szCs w:val="28"/>
          <w:lang w:val="en-US"/>
        </w:rPr>
      </w:pPr>
      <w:r>
        <w:rPr>
          <w:noProof/>
        </w:rPr>
        <w:drawing>
          <wp:inline distT="0" distB="0" distL="0" distR="0" wp14:anchorId="49AD9BE8" wp14:editId="2442FBF5">
            <wp:extent cx="2507820" cy="1568450"/>
            <wp:effectExtent l="0" t="0" r="6985" b="0"/>
            <wp:docPr id="3" name="Picture 3" descr="https://crstodayeurope.com/wp-content/uploads/sites/5/2019/03/Narang_f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rstodayeurope.com/wp-content/uploads/sites/5/2019/03/Narang_fg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5249" cy="1573096"/>
                    </a:xfrm>
                    <a:prstGeom prst="rect">
                      <a:avLst/>
                    </a:prstGeom>
                    <a:noFill/>
                    <a:ln>
                      <a:noFill/>
                    </a:ln>
                  </pic:spPr>
                </pic:pic>
              </a:graphicData>
            </a:graphic>
          </wp:inline>
        </w:drawing>
      </w:r>
    </w:p>
    <w:p w:rsidR="00643B89" w:rsidRDefault="00643B89" w:rsidP="00643B89">
      <w:pPr>
        <w:rPr>
          <w:sz w:val="28"/>
          <w:szCs w:val="28"/>
          <w:lang w:val="en-US"/>
        </w:rPr>
      </w:pPr>
      <w:r>
        <w:rPr>
          <w:sz w:val="28"/>
          <w:szCs w:val="28"/>
          <w:lang w:val="en-US"/>
        </w:rPr>
        <w:t>Trocar ACM</w:t>
      </w:r>
    </w:p>
    <w:p w:rsidR="0013400E" w:rsidRDefault="0013400E" w:rsidP="00643B89">
      <w:pPr>
        <w:rPr>
          <w:sz w:val="28"/>
          <w:szCs w:val="28"/>
          <w:lang w:val="en-US"/>
        </w:rPr>
      </w:pPr>
    </w:p>
    <w:p w:rsidR="0013400E" w:rsidRDefault="0013400E" w:rsidP="00643B89">
      <w:pPr>
        <w:rPr>
          <w:sz w:val="28"/>
          <w:szCs w:val="28"/>
          <w:lang w:val="en-US"/>
        </w:rPr>
      </w:pPr>
    </w:p>
    <w:p w:rsidR="00D44A2B" w:rsidRDefault="00D44A2B" w:rsidP="00643B89">
      <w:pPr>
        <w:rPr>
          <w:sz w:val="28"/>
          <w:szCs w:val="28"/>
          <w:lang w:val="en-US"/>
        </w:rPr>
      </w:pPr>
      <w:r>
        <w:rPr>
          <w:sz w:val="28"/>
          <w:szCs w:val="28"/>
          <w:lang w:val="en-US"/>
        </w:rPr>
        <w:t>Recent Publications</w:t>
      </w:r>
    </w:p>
    <w:p w:rsidR="00891039" w:rsidRPr="00891039" w:rsidRDefault="0013400E" w:rsidP="00EC6469">
      <w:pPr>
        <w:spacing w:after="0" w:line="240" w:lineRule="auto"/>
        <w:rPr>
          <w:rFonts w:ascii="Verdana" w:hAnsi="Verdana"/>
          <w:i/>
          <w:iCs/>
          <w:color w:val="333333"/>
          <w:sz w:val="20"/>
          <w:szCs w:val="20"/>
          <w:shd w:val="clear" w:color="auto" w:fill="FFFFCC"/>
        </w:rPr>
      </w:pPr>
      <w:r>
        <w:rPr>
          <w:rFonts w:ascii="Verdana" w:hAnsi="Verdana"/>
          <w:color w:val="333333"/>
          <w:sz w:val="18"/>
          <w:szCs w:val="18"/>
          <w:shd w:val="clear" w:color="auto" w:fill="FFFFCC"/>
        </w:rPr>
        <w:t xml:space="preserve">1) </w:t>
      </w:r>
      <w:r w:rsidR="00891039">
        <w:rPr>
          <w:rFonts w:ascii="Verdana" w:hAnsi="Verdana"/>
          <w:color w:val="333333"/>
          <w:sz w:val="18"/>
          <w:szCs w:val="18"/>
          <w:shd w:val="clear" w:color="auto" w:fill="FFFFCC"/>
        </w:rPr>
        <w:t xml:space="preserve">Mohamed Khalil Mohamed, H., Zakaria Eid, M., Mustafa El-Sayed, S. COMPARISON OF INTRAOCULAR LENS IMPLANTATION WITH AND WITHOUT VISCOELASTIC SUBSTANCES IN </w:t>
      </w:r>
      <w:r w:rsidR="00891039" w:rsidRPr="00891039">
        <w:rPr>
          <w:rFonts w:ascii="Verdana" w:hAnsi="Verdana"/>
          <w:i/>
          <w:iCs/>
          <w:color w:val="333333"/>
          <w:sz w:val="20"/>
          <w:szCs w:val="20"/>
          <w:shd w:val="clear" w:color="auto" w:fill="FFFFCC"/>
        </w:rPr>
        <w:t>PHACOEMULSIFICATION. </w:t>
      </w:r>
      <w:r w:rsidR="00891039" w:rsidRPr="00891039">
        <w:rPr>
          <w:rStyle w:val="Emphasis"/>
          <w:rFonts w:ascii="Verdana" w:hAnsi="Verdana"/>
          <w:i w:val="0"/>
          <w:iCs w:val="0"/>
          <w:color w:val="333333"/>
          <w:sz w:val="20"/>
          <w:szCs w:val="20"/>
          <w:shd w:val="clear" w:color="auto" w:fill="FFFFCC"/>
        </w:rPr>
        <w:t>Al-Azhar Medical Journal</w:t>
      </w:r>
      <w:r w:rsidR="00891039" w:rsidRPr="00891039">
        <w:rPr>
          <w:rFonts w:ascii="Verdana" w:hAnsi="Verdana"/>
          <w:i/>
          <w:iCs/>
          <w:color w:val="333333"/>
          <w:sz w:val="20"/>
          <w:szCs w:val="20"/>
          <w:shd w:val="clear" w:color="auto" w:fill="FFFFCC"/>
        </w:rPr>
        <w:t xml:space="preserve">, 2021; 50(4): 2391-2400. </w:t>
      </w:r>
      <w:proofErr w:type="spellStart"/>
      <w:r w:rsidR="00891039" w:rsidRPr="00891039">
        <w:rPr>
          <w:rFonts w:ascii="Verdana" w:hAnsi="Verdana"/>
          <w:i/>
          <w:iCs/>
          <w:color w:val="333333"/>
          <w:sz w:val="20"/>
          <w:szCs w:val="20"/>
          <w:shd w:val="clear" w:color="auto" w:fill="FFFFCC"/>
        </w:rPr>
        <w:t>doi</w:t>
      </w:r>
      <w:proofErr w:type="spellEnd"/>
      <w:r w:rsidR="00891039" w:rsidRPr="00891039">
        <w:rPr>
          <w:rFonts w:ascii="Verdana" w:hAnsi="Verdana"/>
          <w:i/>
          <w:iCs/>
          <w:color w:val="333333"/>
          <w:sz w:val="20"/>
          <w:szCs w:val="20"/>
          <w:shd w:val="clear" w:color="auto" w:fill="FFFFCC"/>
        </w:rPr>
        <w:t>: 10.21608/amj.2021.196377</w:t>
      </w:r>
    </w:p>
    <w:p w:rsidR="00EC6469" w:rsidRPr="00891039" w:rsidRDefault="00891039" w:rsidP="00EC6469">
      <w:pPr>
        <w:spacing w:after="0" w:line="240" w:lineRule="auto"/>
        <w:rPr>
          <w:rFonts w:ascii="Times New Roman" w:eastAsia="Times New Roman" w:hAnsi="Times New Roman" w:cs="Times New Roman"/>
          <w:i/>
          <w:iCs/>
          <w:color w:val="000000"/>
          <w:sz w:val="20"/>
          <w:szCs w:val="20"/>
          <w:lang w:eastAsia="en-IN" w:bidi="hi-IN"/>
        </w:rPr>
      </w:pPr>
      <w:r w:rsidRPr="00891039">
        <w:rPr>
          <w:rFonts w:ascii="Times New Roman" w:eastAsia="Times New Roman" w:hAnsi="Times New Roman" w:cs="Times New Roman"/>
          <w:i/>
          <w:iCs/>
          <w:color w:val="000000"/>
          <w:sz w:val="20"/>
          <w:szCs w:val="20"/>
          <w:lang w:eastAsia="en-IN" w:bidi="hi-IN"/>
        </w:rPr>
        <w:t>2</w:t>
      </w:r>
      <w:r w:rsidR="00EC6469" w:rsidRPr="00891039">
        <w:rPr>
          <w:rFonts w:ascii="Times New Roman" w:eastAsia="Times New Roman" w:hAnsi="Times New Roman" w:cs="Times New Roman"/>
          <w:i/>
          <w:iCs/>
          <w:color w:val="000000"/>
          <w:sz w:val="20"/>
          <w:szCs w:val="20"/>
          <w:lang w:eastAsia="en-IN" w:bidi="hi-IN"/>
        </w:rPr>
        <w:t>)</w:t>
      </w:r>
      <w:r w:rsidR="00EC6469" w:rsidRPr="00891039">
        <w:rPr>
          <w:i/>
          <w:iCs/>
          <w:sz w:val="20"/>
          <w:szCs w:val="20"/>
        </w:rPr>
        <w:t xml:space="preserve"> </w:t>
      </w:r>
      <w:r w:rsidR="00EC6469" w:rsidRPr="00891039">
        <w:rPr>
          <w:rFonts w:ascii="Times New Roman" w:eastAsia="Times New Roman" w:hAnsi="Times New Roman" w:cs="Times New Roman"/>
          <w:i/>
          <w:iCs/>
          <w:color w:val="000000"/>
          <w:sz w:val="20"/>
          <w:szCs w:val="20"/>
          <w:lang w:eastAsia="en-IN" w:bidi="hi-IN"/>
        </w:rPr>
        <w:t xml:space="preserve">Joshi, Rajesh Subhash; Naik, </w:t>
      </w:r>
      <w:proofErr w:type="spellStart"/>
      <w:r w:rsidR="00EC6469" w:rsidRPr="00891039">
        <w:rPr>
          <w:rFonts w:ascii="Times New Roman" w:eastAsia="Times New Roman" w:hAnsi="Times New Roman" w:cs="Times New Roman"/>
          <w:i/>
          <w:iCs/>
          <w:color w:val="000000"/>
          <w:sz w:val="20"/>
          <w:szCs w:val="20"/>
          <w:lang w:eastAsia="en-IN" w:bidi="hi-IN"/>
        </w:rPr>
        <w:t>Sanoja</w:t>
      </w:r>
      <w:proofErr w:type="spellEnd"/>
      <w:r w:rsidR="00EC6469" w:rsidRPr="00891039">
        <w:rPr>
          <w:rFonts w:ascii="Times New Roman" w:eastAsia="Times New Roman" w:hAnsi="Times New Roman" w:cs="Times New Roman"/>
          <w:i/>
          <w:iCs/>
          <w:color w:val="000000"/>
          <w:sz w:val="20"/>
          <w:szCs w:val="20"/>
          <w:lang w:eastAsia="en-IN" w:bidi="hi-IN"/>
        </w:rPr>
        <w:t xml:space="preserve"> </w:t>
      </w:r>
      <w:proofErr w:type="spellStart"/>
      <w:proofErr w:type="gramStart"/>
      <w:r w:rsidR="00EC6469" w:rsidRPr="00891039">
        <w:rPr>
          <w:rFonts w:ascii="Times New Roman" w:eastAsia="Times New Roman" w:hAnsi="Times New Roman" w:cs="Times New Roman"/>
          <w:i/>
          <w:iCs/>
          <w:color w:val="000000"/>
          <w:sz w:val="20"/>
          <w:szCs w:val="20"/>
          <w:lang w:eastAsia="en-IN" w:bidi="hi-IN"/>
        </w:rPr>
        <w:t>Rangnath</w:t>
      </w:r>
      <w:proofErr w:type="spellEnd"/>
      <w:r w:rsidR="00EC6469" w:rsidRPr="00891039">
        <w:rPr>
          <w:rFonts w:ascii="Times New Roman" w:eastAsia="Times New Roman" w:hAnsi="Times New Roman" w:cs="Times New Roman"/>
          <w:i/>
          <w:iCs/>
          <w:color w:val="000000"/>
          <w:sz w:val="20"/>
          <w:szCs w:val="20"/>
          <w:lang w:eastAsia="en-IN" w:bidi="hi-IN"/>
        </w:rPr>
        <w:t>.(</w:t>
      </w:r>
      <w:proofErr w:type="gramEnd"/>
      <w:r w:rsidR="00EC6469" w:rsidRPr="00891039">
        <w:rPr>
          <w:rFonts w:ascii="Times New Roman" w:eastAsia="Times New Roman" w:hAnsi="Times New Roman" w:cs="Times New Roman"/>
          <w:i/>
          <w:iCs/>
          <w:color w:val="000000"/>
          <w:sz w:val="20"/>
          <w:szCs w:val="20"/>
          <w:lang w:eastAsia="en-IN" w:bidi="hi-IN"/>
        </w:rPr>
        <w:t xml:space="preserve">2020) Intraoperative Evaluation of Phacoemulsification Cataract Surgery with and without the Use of Ophthalmic </w:t>
      </w:r>
      <w:proofErr w:type="spellStart"/>
      <w:r w:rsidR="00EC6469" w:rsidRPr="00891039">
        <w:rPr>
          <w:rFonts w:ascii="Times New Roman" w:eastAsia="Times New Roman" w:hAnsi="Times New Roman" w:cs="Times New Roman"/>
          <w:i/>
          <w:iCs/>
          <w:color w:val="000000"/>
          <w:sz w:val="20"/>
          <w:szCs w:val="20"/>
          <w:lang w:eastAsia="en-IN" w:bidi="hi-IN"/>
        </w:rPr>
        <w:t>Viscosurgical</w:t>
      </w:r>
      <w:proofErr w:type="spellEnd"/>
      <w:r w:rsidR="00EC6469" w:rsidRPr="00891039">
        <w:rPr>
          <w:rFonts w:ascii="Times New Roman" w:eastAsia="Times New Roman" w:hAnsi="Times New Roman" w:cs="Times New Roman"/>
          <w:i/>
          <w:iCs/>
          <w:color w:val="000000"/>
          <w:sz w:val="20"/>
          <w:szCs w:val="20"/>
          <w:lang w:eastAsia="en-IN" w:bidi="hi-IN"/>
        </w:rPr>
        <w:t xml:space="preserve"> Devices. Middle East African Journal of Ophthalmology 27(1</w:t>
      </w:r>
      <w:proofErr w:type="gramStart"/>
      <w:r w:rsidR="00EC6469" w:rsidRPr="00891039">
        <w:rPr>
          <w:rFonts w:ascii="Times New Roman" w:eastAsia="Times New Roman" w:hAnsi="Times New Roman" w:cs="Times New Roman"/>
          <w:i/>
          <w:iCs/>
          <w:color w:val="000000"/>
          <w:sz w:val="20"/>
          <w:szCs w:val="20"/>
          <w:lang w:eastAsia="en-IN" w:bidi="hi-IN"/>
        </w:rPr>
        <w:t>):p</w:t>
      </w:r>
      <w:proofErr w:type="gramEnd"/>
      <w:r w:rsidR="00EC6469" w:rsidRPr="00891039">
        <w:rPr>
          <w:rFonts w:ascii="Times New Roman" w:eastAsia="Times New Roman" w:hAnsi="Times New Roman" w:cs="Times New Roman"/>
          <w:i/>
          <w:iCs/>
          <w:color w:val="000000"/>
          <w:sz w:val="20"/>
          <w:szCs w:val="20"/>
          <w:lang w:eastAsia="en-IN" w:bidi="hi-IN"/>
        </w:rPr>
        <w:t xml:space="preserve"> 47-52, Jan–Mar 2020. | DOI: 10.4103/meajo.MEAJO_140_19</w:t>
      </w:r>
    </w:p>
    <w:p w:rsidR="00EC6469" w:rsidRPr="00891039" w:rsidRDefault="00EC6469" w:rsidP="00EC6469">
      <w:pPr>
        <w:spacing w:after="0" w:line="240" w:lineRule="auto"/>
        <w:rPr>
          <w:rFonts w:ascii="Times New Roman" w:eastAsia="Times New Roman" w:hAnsi="Times New Roman" w:cs="Times New Roman"/>
          <w:i/>
          <w:iCs/>
          <w:color w:val="000000"/>
          <w:sz w:val="20"/>
          <w:szCs w:val="20"/>
          <w:lang w:eastAsia="en-IN" w:bidi="hi-IN"/>
        </w:rPr>
      </w:pPr>
    </w:p>
    <w:p w:rsidR="00E652BF" w:rsidRPr="00891039" w:rsidRDefault="00891039" w:rsidP="00E652BF">
      <w:pPr>
        <w:rPr>
          <w:rFonts w:ascii="Arial" w:hAnsi="Arial" w:cs="Arial"/>
          <w:i/>
          <w:iCs/>
          <w:color w:val="212121"/>
          <w:sz w:val="20"/>
          <w:szCs w:val="20"/>
          <w:shd w:val="clear" w:color="auto" w:fill="FFFFFF"/>
        </w:rPr>
      </w:pPr>
      <w:r w:rsidRPr="00891039">
        <w:rPr>
          <w:rFonts w:ascii="Arial" w:hAnsi="Arial" w:cs="Arial"/>
          <w:i/>
          <w:iCs/>
          <w:color w:val="212121"/>
          <w:sz w:val="20"/>
          <w:szCs w:val="20"/>
          <w:shd w:val="clear" w:color="auto" w:fill="FFFFFF"/>
        </w:rPr>
        <w:t>3</w:t>
      </w:r>
      <w:r w:rsidR="00E652BF" w:rsidRPr="00891039">
        <w:rPr>
          <w:rFonts w:ascii="Arial" w:hAnsi="Arial" w:cs="Arial"/>
          <w:i/>
          <w:iCs/>
          <w:color w:val="212121"/>
          <w:sz w:val="20"/>
          <w:szCs w:val="20"/>
          <w:shd w:val="clear" w:color="auto" w:fill="FFFFFF"/>
        </w:rPr>
        <w:t xml:space="preserve">) </w:t>
      </w:r>
      <w:proofErr w:type="spellStart"/>
      <w:r w:rsidR="00E652BF" w:rsidRPr="00891039">
        <w:rPr>
          <w:rFonts w:ascii="Arial" w:hAnsi="Arial" w:cs="Arial"/>
          <w:i/>
          <w:iCs/>
          <w:color w:val="212121"/>
          <w:sz w:val="20"/>
          <w:szCs w:val="20"/>
          <w:shd w:val="clear" w:color="auto" w:fill="FFFFFF"/>
        </w:rPr>
        <w:t>Yüksel</w:t>
      </w:r>
      <w:proofErr w:type="spellEnd"/>
      <w:r w:rsidR="00E652BF" w:rsidRPr="00891039">
        <w:rPr>
          <w:rFonts w:ascii="Arial" w:hAnsi="Arial" w:cs="Arial"/>
          <w:i/>
          <w:iCs/>
          <w:color w:val="212121"/>
          <w:sz w:val="20"/>
          <w:szCs w:val="20"/>
          <w:shd w:val="clear" w:color="auto" w:fill="FFFFFF"/>
        </w:rPr>
        <w:t xml:space="preserve">, </w:t>
      </w:r>
      <w:proofErr w:type="spellStart"/>
      <w:r w:rsidR="00E652BF" w:rsidRPr="00891039">
        <w:rPr>
          <w:rFonts w:ascii="Arial" w:hAnsi="Arial" w:cs="Arial"/>
          <w:i/>
          <w:iCs/>
          <w:color w:val="212121"/>
          <w:sz w:val="20"/>
          <w:szCs w:val="20"/>
          <w:shd w:val="clear" w:color="auto" w:fill="FFFFFF"/>
        </w:rPr>
        <w:t>Erdem</w:t>
      </w:r>
      <w:proofErr w:type="spellEnd"/>
      <w:r w:rsidR="00E652BF" w:rsidRPr="00891039">
        <w:rPr>
          <w:rFonts w:ascii="Arial" w:hAnsi="Arial" w:cs="Arial"/>
          <w:i/>
          <w:iCs/>
          <w:color w:val="212121"/>
          <w:sz w:val="20"/>
          <w:szCs w:val="20"/>
          <w:shd w:val="clear" w:color="auto" w:fill="FFFFFF"/>
        </w:rPr>
        <w:t xml:space="preserve">. (2019). Balanced Salt Solution Assisted Intraocular Lens Implantation in Phacoemulsification Surgery: Intraocular Pressure and Endothelial Study. </w:t>
      </w:r>
      <w:proofErr w:type="spellStart"/>
      <w:r w:rsidR="00E652BF" w:rsidRPr="00891039">
        <w:rPr>
          <w:rFonts w:ascii="Arial" w:hAnsi="Arial" w:cs="Arial"/>
          <w:i/>
          <w:iCs/>
          <w:color w:val="212121"/>
          <w:sz w:val="20"/>
          <w:szCs w:val="20"/>
          <w:shd w:val="clear" w:color="auto" w:fill="FFFFFF"/>
        </w:rPr>
        <w:t>Beyoglu</w:t>
      </w:r>
      <w:proofErr w:type="spellEnd"/>
      <w:r w:rsidR="00E652BF" w:rsidRPr="00891039">
        <w:rPr>
          <w:rFonts w:ascii="Arial" w:hAnsi="Arial" w:cs="Arial"/>
          <w:i/>
          <w:iCs/>
          <w:color w:val="212121"/>
          <w:sz w:val="20"/>
          <w:szCs w:val="20"/>
          <w:shd w:val="clear" w:color="auto" w:fill="FFFFFF"/>
        </w:rPr>
        <w:t xml:space="preserve"> Eye Journal. 4. 10.14744/bej.2019.94830.</w:t>
      </w:r>
    </w:p>
    <w:p w:rsidR="00D44A2B" w:rsidRPr="00891039" w:rsidRDefault="00891039" w:rsidP="00643B89">
      <w:pPr>
        <w:rPr>
          <w:rFonts w:ascii="Arial" w:hAnsi="Arial" w:cs="Arial"/>
          <w:i/>
          <w:iCs/>
          <w:color w:val="212121"/>
          <w:sz w:val="20"/>
          <w:szCs w:val="20"/>
          <w:shd w:val="clear" w:color="auto" w:fill="FFFFFF"/>
        </w:rPr>
      </w:pPr>
      <w:r w:rsidRPr="00891039">
        <w:rPr>
          <w:i/>
          <w:iCs/>
          <w:sz w:val="20"/>
          <w:szCs w:val="20"/>
          <w:lang w:val="en-US"/>
        </w:rPr>
        <w:t>4</w:t>
      </w:r>
      <w:r w:rsidR="00D44A2B" w:rsidRPr="00891039">
        <w:rPr>
          <w:i/>
          <w:iCs/>
          <w:sz w:val="20"/>
          <w:szCs w:val="20"/>
          <w:lang w:val="en-US"/>
        </w:rPr>
        <w:t xml:space="preserve">) </w:t>
      </w:r>
      <w:proofErr w:type="spellStart"/>
      <w:r w:rsidR="00D44A2B" w:rsidRPr="00891039">
        <w:rPr>
          <w:rFonts w:ascii="Arial" w:hAnsi="Arial" w:cs="Arial"/>
          <w:i/>
          <w:iCs/>
          <w:color w:val="212121"/>
          <w:sz w:val="20"/>
          <w:szCs w:val="20"/>
          <w:shd w:val="clear" w:color="auto" w:fill="FFFFFF"/>
        </w:rPr>
        <w:t>Özcura</w:t>
      </w:r>
      <w:proofErr w:type="spellEnd"/>
      <w:r w:rsidR="00D44A2B" w:rsidRPr="00891039">
        <w:rPr>
          <w:rFonts w:ascii="Arial" w:hAnsi="Arial" w:cs="Arial"/>
          <w:i/>
          <w:iCs/>
          <w:color w:val="212121"/>
          <w:sz w:val="20"/>
          <w:szCs w:val="20"/>
          <w:shd w:val="clear" w:color="auto" w:fill="FFFFFF"/>
        </w:rPr>
        <w:t xml:space="preserve"> F, </w:t>
      </w:r>
      <w:proofErr w:type="spellStart"/>
      <w:r w:rsidR="00D44A2B" w:rsidRPr="00891039">
        <w:rPr>
          <w:rFonts w:ascii="Arial" w:hAnsi="Arial" w:cs="Arial"/>
          <w:i/>
          <w:iCs/>
          <w:color w:val="212121"/>
          <w:sz w:val="20"/>
          <w:szCs w:val="20"/>
          <w:shd w:val="clear" w:color="auto" w:fill="FFFFFF"/>
        </w:rPr>
        <w:t>Çevik</w:t>
      </w:r>
      <w:proofErr w:type="spellEnd"/>
      <w:r w:rsidR="00D44A2B" w:rsidRPr="00891039">
        <w:rPr>
          <w:rFonts w:ascii="Arial" w:hAnsi="Arial" w:cs="Arial"/>
          <w:i/>
          <w:iCs/>
          <w:color w:val="212121"/>
          <w:sz w:val="20"/>
          <w:szCs w:val="20"/>
          <w:shd w:val="clear" w:color="auto" w:fill="FFFFFF"/>
        </w:rPr>
        <w:t xml:space="preserve"> S (2018 Oct-Dec). </w:t>
      </w:r>
      <w:proofErr w:type="spellStart"/>
      <w:r w:rsidR="00D44A2B" w:rsidRPr="00891039">
        <w:rPr>
          <w:rFonts w:ascii="Arial" w:hAnsi="Arial" w:cs="Arial"/>
          <w:i/>
          <w:iCs/>
          <w:color w:val="212121"/>
          <w:sz w:val="20"/>
          <w:szCs w:val="20"/>
          <w:shd w:val="clear" w:color="auto" w:fill="FFFFFF"/>
        </w:rPr>
        <w:t>Hydroimplantation</w:t>
      </w:r>
      <w:proofErr w:type="spellEnd"/>
      <w:r w:rsidR="00D44A2B" w:rsidRPr="00891039">
        <w:rPr>
          <w:rFonts w:ascii="Arial" w:hAnsi="Arial" w:cs="Arial"/>
          <w:i/>
          <w:iCs/>
          <w:color w:val="212121"/>
          <w:sz w:val="20"/>
          <w:szCs w:val="20"/>
          <w:shd w:val="clear" w:color="auto" w:fill="FFFFFF"/>
        </w:rPr>
        <w:t xml:space="preserve"> versus </w:t>
      </w:r>
      <w:proofErr w:type="spellStart"/>
      <w:r w:rsidR="00D44A2B" w:rsidRPr="00891039">
        <w:rPr>
          <w:rFonts w:ascii="Arial" w:hAnsi="Arial" w:cs="Arial"/>
          <w:i/>
          <w:iCs/>
          <w:color w:val="212121"/>
          <w:sz w:val="20"/>
          <w:szCs w:val="20"/>
          <w:shd w:val="clear" w:color="auto" w:fill="FFFFFF"/>
        </w:rPr>
        <w:t>viscoimplantation</w:t>
      </w:r>
      <w:proofErr w:type="spellEnd"/>
      <w:r w:rsidR="00D44A2B" w:rsidRPr="00891039">
        <w:rPr>
          <w:rFonts w:ascii="Arial" w:hAnsi="Arial" w:cs="Arial"/>
          <w:i/>
          <w:iCs/>
          <w:color w:val="212121"/>
          <w:sz w:val="20"/>
          <w:szCs w:val="20"/>
          <w:shd w:val="clear" w:color="auto" w:fill="FFFFFF"/>
        </w:rPr>
        <w:t>: comparison of intraocular lens implantation with and without ophthalmic viscoelastic device in phacoemulsification. Rom J Ophthalmol.;62(4):282-287. PMID: 30891524; PMCID: PMC6421496.</w:t>
      </w:r>
    </w:p>
    <w:p w:rsidR="00EC6469" w:rsidRPr="00891039" w:rsidRDefault="00891039" w:rsidP="00EC6469">
      <w:pPr>
        <w:rPr>
          <w:i/>
          <w:iCs/>
          <w:sz w:val="20"/>
          <w:szCs w:val="20"/>
          <w:lang w:val="en-US"/>
        </w:rPr>
      </w:pPr>
      <w:r w:rsidRPr="00891039">
        <w:rPr>
          <w:i/>
          <w:iCs/>
          <w:sz w:val="20"/>
          <w:szCs w:val="20"/>
          <w:lang w:val="en-US"/>
        </w:rPr>
        <w:t>5</w:t>
      </w:r>
      <w:r w:rsidR="00EC6469" w:rsidRPr="00891039">
        <w:rPr>
          <w:i/>
          <w:iCs/>
          <w:sz w:val="20"/>
          <w:szCs w:val="20"/>
          <w:lang w:val="en-US"/>
        </w:rPr>
        <w:t xml:space="preserve">) </w:t>
      </w:r>
      <w:r w:rsidR="00EC6469" w:rsidRPr="00E652BF">
        <w:rPr>
          <w:rFonts w:ascii="Times New Roman" w:eastAsia="Times New Roman" w:hAnsi="Times New Roman" w:cs="Times New Roman"/>
          <w:i/>
          <w:iCs/>
          <w:color w:val="000000"/>
          <w:sz w:val="20"/>
          <w:szCs w:val="20"/>
          <w:lang w:eastAsia="en-IN" w:bidi="hi-IN"/>
        </w:rPr>
        <w:t>Lee, Ho Young et al.</w:t>
      </w:r>
      <w:r w:rsidR="00EC6469" w:rsidRPr="00891039">
        <w:rPr>
          <w:rFonts w:ascii="Times New Roman" w:eastAsia="Times New Roman" w:hAnsi="Times New Roman" w:cs="Times New Roman"/>
          <w:i/>
          <w:iCs/>
          <w:color w:val="000000"/>
          <w:sz w:val="20"/>
          <w:szCs w:val="20"/>
          <w:lang w:eastAsia="en-IN" w:bidi="hi-IN"/>
        </w:rPr>
        <w:t xml:space="preserve"> (2011) </w:t>
      </w:r>
      <w:r w:rsidR="00EC6469" w:rsidRPr="00E652BF">
        <w:rPr>
          <w:rFonts w:ascii="Times New Roman" w:eastAsia="Times New Roman" w:hAnsi="Times New Roman" w:cs="Times New Roman"/>
          <w:i/>
          <w:iCs/>
          <w:color w:val="000000"/>
          <w:sz w:val="20"/>
          <w:szCs w:val="20"/>
          <w:lang w:eastAsia="en-IN" w:bidi="hi-IN"/>
        </w:rPr>
        <w:t>Comparison of OVD and BSS for Maintaining the Anterior Chamber during IOL Implantation</w:t>
      </w:r>
      <w:r w:rsidR="00EC6469" w:rsidRPr="00891039">
        <w:rPr>
          <w:rFonts w:ascii="Times New Roman" w:eastAsia="Times New Roman" w:hAnsi="Times New Roman" w:cs="Times New Roman"/>
          <w:i/>
          <w:iCs/>
          <w:color w:val="000000"/>
          <w:sz w:val="20"/>
          <w:szCs w:val="20"/>
          <w:lang w:eastAsia="en-IN" w:bidi="hi-IN"/>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46"/>
      </w:tblGrid>
      <w:tr w:rsidR="00EC6469" w:rsidRPr="00891039" w:rsidTr="007D3543">
        <w:trPr>
          <w:tblCellSpacing w:w="15" w:type="dxa"/>
        </w:trPr>
        <w:tc>
          <w:tcPr>
            <w:tcW w:w="0" w:type="auto"/>
            <w:vAlign w:val="center"/>
            <w:hideMark/>
          </w:tcPr>
          <w:p w:rsidR="00EC6469" w:rsidRPr="00E652BF" w:rsidRDefault="00EC6469" w:rsidP="007D3543">
            <w:pPr>
              <w:spacing w:after="0" w:line="240" w:lineRule="auto"/>
              <w:rPr>
                <w:rFonts w:ascii="Times New Roman" w:eastAsia="Times New Roman" w:hAnsi="Times New Roman" w:cs="Times New Roman"/>
                <w:i/>
                <w:iCs/>
                <w:color w:val="000000"/>
                <w:sz w:val="20"/>
                <w:szCs w:val="20"/>
                <w:lang w:eastAsia="en-IN" w:bidi="hi-IN"/>
              </w:rPr>
            </w:pPr>
            <w:r w:rsidRPr="00E652BF">
              <w:rPr>
                <w:rFonts w:ascii="Times New Roman" w:eastAsia="Times New Roman" w:hAnsi="Times New Roman" w:cs="Times New Roman"/>
                <w:i/>
                <w:iCs/>
                <w:color w:val="000000"/>
                <w:sz w:val="20"/>
                <w:szCs w:val="20"/>
                <w:lang w:eastAsia="en-IN" w:bidi="hi-IN"/>
              </w:rPr>
              <w:t>Korean Journal of Ophthalmology (2011),25(1): 15</w:t>
            </w:r>
          </w:p>
        </w:tc>
      </w:tr>
    </w:tbl>
    <w:p w:rsidR="00AF0AD5" w:rsidRPr="00891039" w:rsidRDefault="00891039" w:rsidP="00643B89">
      <w:pPr>
        <w:rPr>
          <w:i/>
          <w:iCs/>
          <w:sz w:val="20"/>
          <w:szCs w:val="20"/>
        </w:rPr>
      </w:pPr>
      <w:proofErr w:type="gramStart"/>
      <w:r w:rsidRPr="00891039">
        <w:rPr>
          <w:i/>
          <w:iCs/>
          <w:sz w:val="20"/>
          <w:szCs w:val="20"/>
          <w:lang w:val="en-US"/>
        </w:rPr>
        <w:t>6</w:t>
      </w:r>
      <w:r w:rsidR="00AF0AD5" w:rsidRPr="00891039">
        <w:rPr>
          <w:i/>
          <w:iCs/>
          <w:sz w:val="20"/>
          <w:szCs w:val="20"/>
          <w:lang w:val="en-US"/>
        </w:rPr>
        <w:t>)</w:t>
      </w:r>
      <w:r w:rsidR="00AF0AD5" w:rsidRPr="00891039">
        <w:rPr>
          <w:i/>
          <w:iCs/>
          <w:sz w:val="20"/>
          <w:szCs w:val="20"/>
        </w:rPr>
        <w:t xml:space="preserve"> .</w:t>
      </w:r>
      <w:proofErr w:type="spellStart"/>
      <w:r w:rsidR="00AF0AD5" w:rsidRPr="00891039">
        <w:rPr>
          <w:i/>
          <w:iCs/>
          <w:sz w:val="20"/>
          <w:szCs w:val="20"/>
        </w:rPr>
        <w:t>Tak</w:t>
      </w:r>
      <w:proofErr w:type="spellEnd"/>
      <w:proofErr w:type="gramEnd"/>
      <w:r w:rsidR="00AF0AD5" w:rsidRPr="00891039">
        <w:rPr>
          <w:i/>
          <w:iCs/>
          <w:sz w:val="20"/>
          <w:szCs w:val="20"/>
        </w:rPr>
        <w:t xml:space="preserve"> </w:t>
      </w:r>
      <w:proofErr w:type="spellStart"/>
      <w:r w:rsidR="00AF0AD5" w:rsidRPr="00891039">
        <w:rPr>
          <w:i/>
          <w:iCs/>
          <w:sz w:val="20"/>
          <w:szCs w:val="20"/>
        </w:rPr>
        <w:t>H.Hydroimplantation</w:t>
      </w:r>
      <w:proofErr w:type="spellEnd"/>
      <w:r w:rsidR="00AF0AD5" w:rsidRPr="00891039">
        <w:rPr>
          <w:i/>
          <w:iCs/>
          <w:sz w:val="20"/>
          <w:szCs w:val="20"/>
        </w:rPr>
        <w:t xml:space="preserve"> (2010):foldable intraocular lens implantation without an ophthalmic </w:t>
      </w:r>
      <w:proofErr w:type="spellStart"/>
      <w:r w:rsidR="00AF0AD5" w:rsidRPr="00891039">
        <w:rPr>
          <w:i/>
          <w:iCs/>
          <w:sz w:val="20"/>
          <w:szCs w:val="20"/>
        </w:rPr>
        <w:t>viscosurgical</w:t>
      </w:r>
      <w:proofErr w:type="spellEnd"/>
      <w:r w:rsidR="00AF0AD5" w:rsidRPr="00891039">
        <w:rPr>
          <w:i/>
          <w:iCs/>
          <w:sz w:val="20"/>
          <w:szCs w:val="20"/>
        </w:rPr>
        <w:t xml:space="preserve"> </w:t>
      </w:r>
      <w:proofErr w:type="spellStart"/>
      <w:r w:rsidR="00AF0AD5" w:rsidRPr="00891039">
        <w:rPr>
          <w:i/>
          <w:iCs/>
          <w:sz w:val="20"/>
          <w:szCs w:val="20"/>
        </w:rPr>
        <w:t>device.J</w:t>
      </w:r>
      <w:proofErr w:type="spellEnd"/>
      <w:r w:rsidR="00AF0AD5" w:rsidRPr="00891039">
        <w:rPr>
          <w:i/>
          <w:iCs/>
          <w:sz w:val="20"/>
          <w:szCs w:val="20"/>
        </w:rPr>
        <w:t xml:space="preserve"> Cataract Refract Surg.;36(3):377-379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5"/>
      </w:tblGrid>
      <w:tr w:rsidR="00E652BF" w:rsidRPr="00E652BF" w:rsidTr="007D3543">
        <w:trPr>
          <w:tblCellSpacing w:w="15" w:type="dxa"/>
        </w:trPr>
        <w:tc>
          <w:tcPr>
            <w:tcW w:w="0" w:type="auto"/>
            <w:gridSpan w:val="2"/>
            <w:vAlign w:val="center"/>
          </w:tcPr>
          <w:p w:rsidR="00E652BF" w:rsidRPr="00E652BF" w:rsidRDefault="00E652BF" w:rsidP="00EC6469">
            <w:pPr>
              <w:rPr>
                <w:rFonts w:ascii="Times New Roman" w:eastAsia="Times New Roman" w:hAnsi="Times New Roman" w:cs="Times New Roman"/>
                <w:i/>
                <w:iCs/>
                <w:color w:val="000000"/>
                <w:sz w:val="27"/>
                <w:szCs w:val="27"/>
                <w:lang w:eastAsia="en-IN" w:bidi="hi-IN"/>
              </w:rPr>
            </w:pPr>
          </w:p>
        </w:tc>
      </w:tr>
      <w:tr w:rsidR="00E652BF" w:rsidRPr="00E652BF" w:rsidTr="00E652BF">
        <w:trPr>
          <w:gridAfter w:val="1"/>
          <w:tblCellSpacing w:w="15" w:type="dxa"/>
        </w:trPr>
        <w:tc>
          <w:tcPr>
            <w:tcW w:w="0" w:type="auto"/>
            <w:vAlign w:val="center"/>
            <w:hideMark/>
          </w:tcPr>
          <w:p w:rsidR="00E652BF" w:rsidRPr="00E652BF" w:rsidRDefault="00E652BF" w:rsidP="00E652BF">
            <w:pPr>
              <w:spacing w:after="0" w:line="240" w:lineRule="auto"/>
              <w:rPr>
                <w:rFonts w:ascii="Times New Roman" w:eastAsia="Times New Roman" w:hAnsi="Times New Roman" w:cs="Times New Roman"/>
                <w:color w:val="000000"/>
                <w:sz w:val="27"/>
                <w:szCs w:val="27"/>
                <w:lang w:eastAsia="en-IN" w:bidi="hi-IN"/>
              </w:rPr>
            </w:pPr>
          </w:p>
        </w:tc>
      </w:tr>
      <w:tr w:rsidR="00E652BF" w:rsidRPr="00E652BF" w:rsidTr="00E652BF">
        <w:trPr>
          <w:gridAfter w:val="1"/>
          <w:tblCellSpacing w:w="15" w:type="dxa"/>
        </w:trPr>
        <w:tc>
          <w:tcPr>
            <w:tcW w:w="0" w:type="auto"/>
            <w:vAlign w:val="center"/>
            <w:hideMark/>
          </w:tcPr>
          <w:p w:rsidR="00E652BF" w:rsidRPr="00E652BF" w:rsidRDefault="00E652BF" w:rsidP="00E652BF">
            <w:pPr>
              <w:spacing w:after="0" w:line="240" w:lineRule="auto"/>
              <w:rPr>
                <w:rFonts w:ascii="Times New Roman" w:eastAsia="Times New Roman" w:hAnsi="Times New Roman" w:cs="Times New Roman"/>
                <w:color w:val="000000"/>
                <w:sz w:val="27"/>
                <w:szCs w:val="27"/>
                <w:lang w:eastAsia="en-IN" w:bidi="hi-IN"/>
              </w:rPr>
            </w:pPr>
          </w:p>
        </w:tc>
      </w:tr>
      <w:tr w:rsidR="00E652BF" w:rsidRPr="00E652BF" w:rsidTr="00E652BF">
        <w:trPr>
          <w:gridAfter w:val="1"/>
          <w:tblCellSpacing w:w="15" w:type="dxa"/>
        </w:trPr>
        <w:tc>
          <w:tcPr>
            <w:tcW w:w="0" w:type="auto"/>
            <w:vAlign w:val="center"/>
          </w:tcPr>
          <w:p w:rsidR="00E652BF" w:rsidRPr="00E652BF" w:rsidRDefault="00E652BF" w:rsidP="00E652BF">
            <w:pPr>
              <w:spacing w:after="0" w:line="240" w:lineRule="auto"/>
              <w:rPr>
                <w:rFonts w:ascii="Times New Roman" w:eastAsia="Times New Roman" w:hAnsi="Times New Roman" w:cs="Times New Roman"/>
                <w:color w:val="000000"/>
                <w:sz w:val="27"/>
                <w:szCs w:val="27"/>
                <w:lang w:eastAsia="en-IN" w:bidi="hi-IN"/>
              </w:rPr>
            </w:pPr>
          </w:p>
        </w:tc>
      </w:tr>
    </w:tbl>
    <w:p w:rsidR="00AF0AD5" w:rsidRDefault="00891039" w:rsidP="00643B89">
      <w:pPr>
        <w:rPr>
          <w:sz w:val="28"/>
          <w:szCs w:val="28"/>
          <w:lang w:val="en-US"/>
        </w:rPr>
      </w:pPr>
      <w:r>
        <w:rPr>
          <w:sz w:val="28"/>
          <w:szCs w:val="28"/>
          <w:lang w:val="en-US"/>
        </w:rPr>
        <w:t>Biography</w:t>
      </w:r>
    </w:p>
    <w:p w:rsidR="00891039" w:rsidRDefault="00891039" w:rsidP="00643B89">
      <w:pPr>
        <w:rPr>
          <w:sz w:val="28"/>
          <w:szCs w:val="28"/>
          <w:lang w:val="en-US"/>
        </w:rPr>
      </w:pPr>
      <w:r>
        <w:rPr>
          <w:sz w:val="28"/>
          <w:szCs w:val="28"/>
          <w:lang w:val="en-US"/>
        </w:rPr>
        <w:t>Dr Tanisha Chaudhary is presently a 3</w:t>
      </w:r>
      <w:r w:rsidRPr="00891039">
        <w:rPr>
          <w:sz w:val="28"/>
          <w:szCs w:val="28"/>
          <w:vertAlign w:val="superscript"/>
          <w:lang w:val="en-US"/>
        </w:rPr>
        <w:t>rd</w:t>
      </w:r>
      <w:r>
        <w:rPr>
          <w:sz w:val="28"/>
          <w:szCs w:val="28"/>
          <w:lang w:val="en-US"/>
        </w:rPr>
        <w:t xml:space="preserve"> year resident in Ophthalmology Department, Guru Gobind Singh Hospital, Jamnagar, India. She has keen interest in the clinical practice and research work. She has been presenting posters and papers during her academic tenure and aims at improving the well being </w:t>
      </w:r>
      <w:r w:rsidR="007A2107">
        <w:rPr>
          <w:sz w:val="28"/>
          <w:szCs w:val="28"/>
          <w:lang w:val="en-US"/>
        </w:rPr>
        <w:t xml:space="preserve">of her patients and hence the society. A doctor truly empathetic and ambitious, hoping to expand the reach of recent ophthalmological practices and learning from her seniors. </w:t>
      </w:r>
    </w:p>
    <w:p w:rsidR="007A2107" w:rsidRDefault="007A2107" w:rsidP="00643B89">
      <w:pPr>
        <w:rPr>
          <w:sz w:val="28"/>
          <w:szCs w:val="28"/>
          <w:lang w:val="en-US"/>
        </w:rPr>
      </w:pPr>
      <w:r>
        <w:rPr>
          <w:sz w:val="28"/>
          <w:szCs w:val="28"/>
          <w:lang w:val="en-US"/>
        </w:rPr>
        <w:t xml:space="preserve">Email: </w:t>
      </w:r>
      <w:hyperlink r:id="rId6" w:history="1">
        <w:r w:rsidRPr="00501F0A">
          <w:rPr>
            <w:rStyle w:val="Hyperlink"/>
            <w:sz w:val="28"/>
            <w:szCs w:val="28"/>
            <w:lang w:val="en-US"/>
          </w:rPr>
          <w:t>chaudharytanisha261@gmail.com</w:t>
        </w:r>
      </w:hyperlink>
    </w:p>
    <w:p w:rsidR="007A2107" w:rsidRDefault="007A2107" w:rsidP="00643B89">
      <w:pPr>
        <w:rPr>
          <w:sz w:val="28"/>
          <w:szCs w:val="28"/>
          <w:lang w:val="en-US"/>
        </w:rPr>
      </w:pPr>
      <w:r>
        <w:rPr>
          <w:sz w:val="28"/>
          <w:szCs w:val="28"/>
          <w:lang w:val="en-US"/>
        </w:rPr>
        <w:t>Presenting author details</w:t>
      </w:r>
    </w:p>
    <w:p w:rsidR="007A2107" w:rsidRDefault="007A2107" w:rsidP="00643B89">
      <w:pPr>
        <w:rPr>
          <w:sz w:val="28"/>
          <w:szCs w:val="28"/>
          <w:lang w:val="en-US"/>
        </w:rPr>
      </w:pPr>
      <w:r>
        <w:rPr>
          <w:sz w:val="28"/>
          <w:szCs w:val="28"/>
          <w:lang w:val="en-US"/>
        </w:rPr>
        <w:t>Full name: Dr Tanisha Chaudhary</w:t>
      </w:r>
    </w:p>
    <w:p w:rsidR="007A2107" w:rsidRDefault="007A2107" w:rsidP="00643B89">
      <w:pPr>
        <w:rPr>
          <w:sz w:val="28"/>
          <w:szCs w:val="28"/>
          <w:lang w:val="en-US"/>
        </w:rPr>
      </w:pPr>
      <w:r>
        <w:rPr>
          <w:sz w:val="28"/>
          <w:szCs w:val="28"/>
          <w:lang w:val="en-US"/>
        </w:rPr>
        <w:t>Contact number: +917976935989</w:t>
      </w:r>
    </w:p>
    <w:p w:rsidR="0013400E" w:rsidRDefault="0013400E" w:rsidP="00643B89">
      <w:pPr>
        <w:rPr>
          <w:sz w:val="28"/>
          <w:szCs w:val="28"/>
          <w:lang w:val="en-US"/>
        </w:rPr>
      </w:pPr>
      <w:r>
        <w:rPr>
          <w:sz w:val="28"/>
          <w:szCs w:val="28"/>
          <w:lang w:val="en-US"/>
        </w:rPr>
        <w:t>Twitter account: @Tanisha8894</w:t>
      </w:r>
    </w:p>
    <w:p w:rsidR="007A2107" w:rsidRPr="00643B89" w:rsidRDefault="007A2107" w:rsidP="00643B89">
      <w:pPr>
        <w:rPr>
          <w:sz w:val="28"/>
          <w:szCs w:val="28"/>
          <w:lang w:val="en-US"/>
        </w:rPr>
      </w:pPr>
      <w:r>
        <w:rPr>
          <w:sz w:val="28"/>
          <w:szCs w:val="28"/>
          <w:lang w:val="en-US"/>
        </w:rPr>
        <w:lastRenderedPageBreak/>
        <w:t>Category</w:t>
      </w:r>
      <w:r w:rsidR="0013400E">
        <w:rPr>
          <w:sz w:val="28"/>
          <w:szCs w:val="28"/>
          <w:lang w:val="en-US"/>
        </w:rPr>
        <w:t>: Oral Presentation</w:t>
      </w:r>
    </w:p>
    <w:p w:rsidR="00735C60" w:rsidRDefault="00735C60" w:rsidP="00735C60">
      <w:pPr>
        <w:rPr>
          <w:lang w:val="en-US"/>
        </w:rPr>
      </w:pPr>
    </w:p>
    <w:p w:rsidR="007C3CA3" w:rsidRDefault="007C3CA3"/>
    <w:sectPr w:rsidR="007C3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F4303"/>
    <w:multiLevelType w:val="hybridMultilevel"/>
    <w:tmpl w:val="3FC83DC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60"/>
    <w:rsid w:val="00073596"/>
    <w:rsid w:val="0013400E"/>
    <w:rsid w:val="00643B89"/>
    <w:rsid w:val="00735C60"/>
    <w:rsid w:val="007A2107"/>
    <w:rsid w:val="007C3CA3"/>
    <w:rsid w:val="00891039"/>
    <w:rsid w:val="00AF0AD5"/>
    <w:rsid w:val="00C91B98"/>
    <w:rsid w:val="00D44A2B"/>
    <w:rsid w:val="00E652BF"/>
    <w:rsid w:val="00EC646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ADD3"/>
  <w15:chartTrackingRefBased/>
  <w15:docId w15:val="{2309DDEF-9D0B-4637-8288-450F460F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5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C60"/>
    <w:pPr>
      <w:ind w:left="720"/>
      <w:contextualSpacing/>
    </w:pPr>
  </w:style>
  <w:style w:type="character" w:styleId="Emphasis">
    <w:name w:val="Emphasis"/>
    <w:basedOn w:val="DefaultParagraphFont"/>
    <w:uiPriority w:val="20"/>
    <w:qFormat/>
    <w:rsid w:val="00891039"/>
    <w:rPr>
      <w:i/>
      <w:iCs/>
    </w:rPr>
  </w:style>
  <w:style w:type="character" w:styleId="Hyperlink">
    <w:name w:val="Hyperlink"/>
    <w:basedOn w:val="DefaultParagraphFont"/>
    <w:uiPriority w:val="99"/>
    <w:unhideWhenUsed/>
    <w:rsid w:val="007A2107"/>
    <w:rPr>
      <w:color w:val="0563C1" w:themeColor="hyperlink"/>
      <w:u w:val="single"/>
    </w:rPr>
  </w:style>
  <w:style w:type="character" w:styleId="UnresolvedMention">
    <w:name w:val="Unresolved Mention"/>
    <w:basedOn w:val="DefaultParagraphFont"/>
    <w:uiPriority w:val="99"/>
    <w:semiHidden/>
    <w:unhideWhenUsed/>
    <w:rsid w:val="007A2107"/>
    <w:rPr>
      <w:color w:val="605E5C"/>
      <w:shd w:val="clear" w:color="auto" w:fill="E1DFDD"/>
    </w:rPr>
  </w:style>
  <w:style w:type="paragraph" w:styleId="NoSpacing">
    <w:name w:val="No Spacing"/>
    <w:uiPriority w:val="1"/>
    <w:qFormat/>
    <w:rsid w:val="000735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67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udharytanisha26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2023-04-04T15:15:00Z</dcterms:created>
  <dcterms:modified xsi:type="dcterms:W3CDTF">2023-04-04T16:29:00Z</dcterms:modified>
</cp:coreProperties>
</file>