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bookmarkStart w:name="The Immunoregulation Effect of TFEB in D" w:id="1"/>
      <w:bookmarkEnd w:id="1"/>
      <w:r>
        <w:rPr>
          <w:b w:val="0"/>
        </w:rPr>
      </w:r>
      <w:r>
        <w:rPr>
          <w:color w:val="3379B7"/>
        </w:rPr>
        <w:t>The</w:t>
      </w:r>
      <w:r>
        <w:rPr>
          <w:color w:val="3379B7"/>
          <w:spacing w:val="-5"/>
        </w:rPr>
        <w:t> </w:t>
      </w:r>
      <w:r>
        <w:rPr>
          <w:color w:val="3379B7"/>
        </w:rPr>
        <w:t>Immunoregulation</w:t>
      </w:r>
      <w:r>
        <w:rPr>
          <w:color w:val="3379B7"/>
          <w:spacing w:val="-5"/>
        </w:rPr>
        <w:t> </w:t>
      </w:r>
      <w:r>
        <w:rPr>
          <w:color w:val="3379B7"/>
        </w:rPr>
        <w:t>Effect</w:t>
      </w:r>
      <w:r>
        <w:rPr>
          <w:color w:val="3379B7"/>
          <w:spacing w:val="-8"/>
        </w:rPr>
        <w:t> </w:t>
      </w:r>
      <w:r>
        <w:rPr>
          <w:color w:val="3379B7"/>
        </w:rPr>
        <w:t>of TFEB</w:t>
      </w:r>
      <w:r>
        <w:rPr>
          <w:color w:val="3379B7"/>
          <w:spacing w:val="-7"/>
        </w:rPr>
        <w:t> </w:t>
      </w:r>
      <w:r>
        <w:rPr>
          <w:color w:val="3379B7"/>
        </w:rPr>
        <w:t>in</w:t>
      </w:r>
      <w:r>
        <w:rPr>
          <w:color w:val="3379B7"/>
          <w:spacing w:val="-5"/>
        </w:rPr>
        <w:t> </w:t>
      </w:r>
      <w:r>
        <w:rPr>
          <w:color w:val="3379B7"/>
        </w:rPr>
        <w:t>Dendritic</w:t>
      </w:r>
      <w:r>
        <w:rPr>
          <w:color w:val="3379B7"/>
          <w:spacing w:val="-2"/>
        </w:rPr>
        <w:t> </w:t>
      </w:r>
      <w:r>
        <w:rPr>
          <w:color w:val="3379B7"/>
        </w:rPr>
        <w:t>Cells</w:t>
      </w:r>
      <w:r>
        <w:rPr>
          <w:color w:val="3379B7"/>
          <w:spacing w:val="-4"/>
        </w:rPr>
        <w:t> </w:t>
      </w:r>
      <w:r>
        <w:rPr>
          <w:color w:val="3379B7"/>
        </w:rPr>
        <w:t>on</w:t>
      </w:r>
      <w:r>
        <w:rPr>
          <w:color w:val="3379B7"/>
          <w:spacing w:val="-76"/>
        </w:rPr>
        <w:t> </w:t>
      </w:r>
      <w:r>
        <w:rPr>
          <w:color w:val="3379B7"/>
        </w:rPr>
        <w:t>Asthma</w:t>
      </w:r>
    </w:p>
    <w:p>
      <w:pPr>
        <w:pStyle w:val="BodyText"/>
        <w:spacing w:line="232" w:lineRule="auto" w:before="70"/>
        <w:ind w:left="200" w:right="6243"/>
        <w:rPr>
          <w:rFonts w:ascii="Arial MT"/>
        </w:rPr>
      </w:pPr>
      <w:r>
        <w:rPr>
          <w:rFonts w:ascii="Arial MT"/>
        </w:rPr>
        <w:t>Fengxia Ding, Children's Hospital of Chongqing Medical</w:t>
      </w:r>
      <w:r>
        <w:rPr>
          <w:rFonts w:ascii="Arial MT"/>
          <w:spacing w:val="-48"/>
        </w:rPr>
        <w:t> </w:t>
      </w:r>
      <w:r>
        <w:rPr>
          <w:rFonts w:ascii="Arial MT"/>
        </w:rPr>
        <w:t>University/Chongqing</w:t>
      </w:r>
      <w:r>
        <w:rPr>
          <w:rFonts w:ascii="Arial MT"/>
          <w:spacing w:val="-1"/>
        </w:rPr>
        <w:t> </w:t>
      </w:r>
      <w:r>
        <w:rPr>
          <w:rFonts w:ascii="Arial MT"/>
        </w:rPr>
        <w:t>Medical University,</w:t>
      </w:r>
      <w:r>
        <w:rPr>
          <w:rFonts w:ascii="Arial MT"/>
          <w:spacing w:val="-1"/>
        </w:rPr>
        <w:t> </w:t>
      </w:r>
      <w:r>
        <w:rPr>
          <w:rFonts w:ascii="Arial MT"/>
        </w:rPr>
        <w:t>China</w:t>
      </w:r>
    </w:p>
    <w:p>
      <w:pPr>
        <w:pStyle w:val="BodyText"/>
        <w:spacing w:line="232" w:lineRule="auto" w:before="68"/>
        <w:ind w:left="200" w:right="6802"/>
        <w:rPr>
          <w:rFonts w:ascii="Arial MT"/>
        </w:rPr>
      </w:pPr>
      <w:r>
        <w:rPr>
          <w:rFonts w:ascii="Arial MT"/>
        </w:rPr>
        <w:t>Bo</w:t>
      </w:r>
      <w:r>
        <w:rPr>
          <w:rFonts w:ascii="Arial MT"/>
          <w:spacing w:val="-2"/>
        </w:rPr>
        <w:t> </w:t>
      </w:r>
      <w:r>
        <w:rPr>
          <w:rFonts w:ascii="Arial MT"/>
        </w:rPr>
        <w:t>Liu,</w:t>
      </w:r>
      <w:r>
        <w:rPr>
          <w:rFonts w:ascii="Arial MT"/>
          <w:spacing w:val="-2"/>
        </w:rPr>
        <w:t> </w:t>
      </w:r>
      <w:r>
        <w:rPr>
          <w:rFonts w:ascii="Arial MT"/>
        </w:rPr>
        <w:t>Children's</w:t>
      </w:r>
      <w:r>
        <w:rPr>
          <w:rFonts w:ascii="Arial MT"/>
          <w:spacing w:val="-1"/>
        </w:rPr>
        <w:t> </w:t>
      </w:r>
      <w:r>
        <w:rPr>
          <w:rFonts w:ascii="Arial MT"/>
        </w:rPr>
        <w:t>Hospital</w:t>
      </w:r>
      <w:r>
        <w:rPr>
          <w:rFonts w:ascii="Arial MT"/>
          <w:spacing w:val="-2"/>
        </w:rPr>
        <w:t> </w:t>
      </w:r>
      <w:r>
        <w:rPr>
          <w:rFonts w:ascii="Arial MT"/>
        </w:rPr>
        <w:t>of Chongqing</w:t>
      </w:r>
      <w:r>
        <w:rPr>
          <w:rFonts w:ascii="Arial MT"/>
          <w:spacing w:val="-2"/>
        </w:rPr>
        <w:t> </w:t>
      </w:r>
      <w:r>
        <w:rPr>
          <w:rFonts w:ascii="Arial MT"/>
        </w:rPr>
        <w:t>Medical</w:t>
      </w:r>
      <w:r>
        <w:rPr>
          <w:rFonts w:ascii="Arial MT"/>
          <w:spacing w:val="-47"/>
        </w:rPr>
        <w:t> </w:t>
      </w:r>
      <w:r>
        <w:rPr>
          <w:rFonts w:ascii="Arial MT"/>
        </w:rPr>
        <w:t>University/Chongqing</w:t>
      </w:r>
      <w:r>
        <w:rPr>
          <w:rFonts w:ascii="Arial MT"/>
          <w:spacing w:val="-1"/>
        </w:rPr>
        <w:t> </w:t>
      </w:r>
      <w:r>
        <w:rPr>
          <w:rFonts w:ascii="Arial MT"/>
        </w:rPr>
        <w:t>Medical</w:t>
      </w:r>
      <w:r>
        <w:rPr>
          <w:rFonts w:ascii="Arial MT"/>
          <w:spacing w:val="-1"/>
        </w:rPr>
        <w:t> </w:t>
      </w:r>
      <w:r>
        <w:rPr>
          <w:rFonts w:ascii="Arial MT"/>
        </w:rPr>
        <w:t>University,</w:t>
      </w:r>
      <w:r>
        <w:rPr>
          <w:rFonts w:ascii="Arial MT"/>
          <w:spacing w:val="-2"/>
        </w:rPr>
        <w:t> </w:t>
      </w:r>
      <w:r>
        <w:rPr>
          <w:rFonts w:ascii="Arial MT"/>
        </w:rPr>
        <w:t>China</w:t>
      </w:r>
    </w:p>
    <w:p>
      <w:pPr>
        <w:pStyle w:val="BodyText"/>
        <w:spacing w:before="10"/>
        <w:rPr>
          <w:rFonts w:ascii="Arial MT"/>
          <w:sz w:val="24"/>
        </w:rPr>
      </w:pPr>
    </w:p>
    <w:p>
      <w:pPr>
        <w:spacing w:after="0"/>
        <w:rPr>
          <w:rFonts w:ascii="Arial MT"/>
          <w:sz w:val="24"/>
        </w:rPr>
        <w:sectPr>
          <w:type w:val="continuous"/>
          <w:pgSz w:w="11910" w:h="16840"/>
          <w:pgMar w:top="1060" w:bottom="280" w:left="520" w:right="480"/>
        </w:sectPr>
      </w:pPr>
    </w:p>
    <w:p>
      <w:pPr>
        <w:pStyle w:val="Heading2"/>
        <w:spacing w:before="94"/>
        <w:jc w:val="both"/>
      </w:pPr>
      <w:bookmarkStart w:name="Abstract (300 word limit)" w:id="2"/>
      <w:bookmarkEnd w:id="2"/>
      <w:r>
        <w:rPr>
          <w:b w:val="0"/>
        </w:rPr>
      </w:r>
      <w:r>
        <w:rPr>
          <w:color w:val="BE5A13"/>
        </w:rPr>
        <w:t>Abstract</w:t>
      </w:r>
      <w:r>
        <w:rPr>
          <w:color w:val="BE5A13"/>
          <w:spacing w:val="-3"/>
        </w:rPr>
        <w:t> </w:t>
      </w:r>
      <w:r>
        <w:rPr>
          <w:color w:val="BE5A13"/>
        </w:rPr>
        <w:t>(300</w:t>
      </w:r>
      <w:r>
        <w:rPr>
          <w:color w:val="BE5A13"/>
          <w:spacing w:val="-3"/>
        </w:rPr>
        <w:t> </w:t>
      </w:r>
      <w:r>
        <w:rPr>
          <w:color w:val="BE5A13"/>
        </w:rPr>
        <w:t>word</w:t>
      </w:r>
      <w:r>
        <w:rPr>
          <w:color w:val="BE5A13"/>
          <w:spacing w:val="-9"/>
        </w:rPr>
        <w:t> </w:t>
      </w:r>
      <w:r>
        <w:rPr>
          <w:color w:val="BE5A13"/>
        </w:rPr>
        <w:t>limit)</w:t>
      </w:r>
    </w:p>
    <w:p>
      <w:pPr>
        <w:pStyle w:val="BodyText"/>
        <w:spacing w:line="268" w:lineRule="auto" w:before="77"/>
        <w:ind w:left="200"/>
        <w:jc w:val="both"/>
      </w:pPr>
      <w:r>
        <w:rPr>
          <w:w w:val="90"/>
        </w:rPr>
        <w:t>Introduction: Asthma is a common chronic disease in children, and</w:t>
      </w:r>
      <w:r>
        <w:rPr>
          <w:spacing w:val="1"/>
          <w:w w:val="90"/>
        </w:rPr>
        <w:t> </w:t>
      </w:r>
      <w:r>
        <w:rPr>
          <w:w w:val="95"/>
        </w:rPr>
        <w:t>dendritic cells (DCs) play a crucial role in the immunoregulation of</w:t>
      </w:r>
      <w:r>
        <w:rPr>
          <w:spacing w:val="1"/>
          <w:w w:val="95"/>
        </w:rPr>
        <w:t> </w:t>
      </w:r>
      <w:r>
        <w:rPr>
          <w:w w:val="90"/>
        </w:rPr>
        <w:t>asthma. It’s reported that overexpression of the transcription factor EB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(TFEB) alters </w:t>
      </w:r>
      <w:r>
        <w:rPr>
          <w:w w:val="90"/>
        </w:rPr>
        <w:t>lysosomal activity and function, enhances MHC II antigen</w:t>
      </w:r>
      <w:r>
        <w:rPr>
          <w:spacing w:val="-41"/>
          <w:w w:val="90"/>
        </w:rPr>
        <w:t> </w:t>
      </w:r>
      <w:r>
        <w:rPr>
          <w:w w:val="90"/>
        </w:rPr>
        <w:t>presentation,</w:t>
      </w:r>
      <w:r>
        <w:rPr>
          <w:spacing w:val="1"/>
          <w:w w:val="90"/>
        </w:rPr>
        <w:t> </w:t>
      </w:r>
      <w:r>
        <w:rPr>
          <w:w w:val="90"/>
        </w:rPr>
        <w:t>activates</w:t>
      </w:r>
      <w:r>
        <w:rPr>
          <w:spacing w:val="1"/>
          <w:w w:val="90"/>
        </w:rPr>
        <w:t> </w:t>
      </w:r>
      <w:r>
        <w:rPr>
          <w:w w:val="90"/>
        </w:rPr>
        <w:t>CD4</w:t>
      </w:r>
      <w:r>
        <w:rPr>
          <w:w w:val="90"/>
          <w:position w:val="4"/>
          <w:sz w:val="12"/>
        </w:rPr>
        <w:t>+</w:t>
      </w:r>
      <w:r>
        <w:rPr>
          <w:spacing w:val="1"/>
          <w:w w:val="90"/>
          <w:position w:val="4"/>
          <w:sz w:val="12"/>
        </w:rPr>
        <w:t> </w:t>
      </w:r>
      <w:r>
        <w:rPr>
          <w:w w:val="90"/>
        </w:rPr>
        <w:t>effector</w:t>
      </w:r>
      <w:r>
        <w:rPr>
          <w:spacing w:val="1"/>
          <w:w w:val="90"/>
        </w:rPr>
        <w:t> </w:t>
      </w:r>
      <w:r>
        <w:rPr>
          <w:w w:val="90"/>
        </w:rPr>
        <w:t>T</w:t>
      </w:r>
      <w:r>
        <w:rPr>
          <w:spacing w:val="1"/>
          <w:w w:val="90"/>
        </w:rPr>
        <w:t> </w:t>
      </w:r>
      <w:r>
        <w:rPr>
          <w:w w:val="90"/>
        </w:rPr>
        <w:t>cells</w:t>
      </w:r>
      <w:r>
        <w:rPr>
          <w:spacing w:val="1"/>
          <w:w w:val="90"/>
        </w:rPr>
        <w:t> </w:t>
      </w:r>
      <w:r>
        <w:rPr>
          <w:w w:val="90"/>
        </w:rPr>
        <w:t>(Teffs),</w:t>
      </w:r>
      <w:r>
        <w:rPr>
          <w:spacing w:val="1"/>
          <w:w w:val="90"/>
        </w:rPr>
        <w:t> </w:t>
      </w:r>
      <w:r>
        <w:rPr>
          <w:w w:val="90"/>
        </w:rPr>
        <w:t>thus</w:t>
      </w:r>
      <w:r>
        <w:rPr>
          <w:spacing w:val="1"/>
          <w:w w:val="90"/>
        </w:rPr>
        <w:t> </w:t>
      </w:r>
      <w:r>
        <w:rPr>
          <w:w w:val="90"/>
        </w:rPr>
        <w:t>promotes</w:t>
      </w:r>
      <w:r>
        <w:rPr>
          <w:spacing w:val="-41"/>
          <w:w w:val="90"/>
        </w:rPr>
        <w:t> </w:t>
      </w:r>
      <w:r>
        <w:rPr>
          <w:w w:val="90"/>
        </w:rPr>
        <w:t>immune activation. Therefore, TFEB may play a critical role in DCs</w:t>
      </w:r>
      <w:r>
        <w:rPr>
          <w:spacing w:val="1"/>
          <w:w w:val="90"/>
        </w:rPr>
        <w:t> </w:t>
      </w:r>
      <w:r>
        <w:rPr>
          <w:w w:val="95"/>
        </w:rPr>
        <w:t>antigen</w:t>
      </w:r>
      <w:r>
        <w:rPr>
          <w:spacing w:val="1"/>
          <w:w w:val="95"/>
        </w:rPr>
        <w:t> </w:t>
      </w:r>
      <w:r>
        <w:rPr>
          <w:w w:val="95"/>
        </w:rPr>
        <w:t>presentation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Teffs</w:t>
      </w:r>
      <w:r>
        <w:rPr>
          <w:spacing w:val="1"/>
          <w:w w:val="95"/>
        </w:rPr>
        <w:t> </w:t>
      </w:r>
      <w:r>
        <w:rPr>
          <w:w w:val="95"/>
        </w:rPr>
        <w:t>activation.</w:t>
      </w:r>
      <w:r>
        <w:rPr>
          <w:spacing w:val="1"/>
          <w:w w:val="95"/>
        </w:rPr>
        <w:t> </w:t>
      </w:r>
      <w:r>
        <w:rPr>
          <w:w w:val="95"/>
        </w:rPr>
        <w:t>However,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0"/>
        </w:rPr>
        <w:t>immunoregulation</w:t>
      </w:r>
      <w:r>
        <w:rPr>
          <w:spacing w:val="1"/>
          <w:w w:val="90"/>
        </w:rPr>
        <w:t> </w:t>
      </w:r>
      <w:r>
        <w:rPr>
          <w:w w:val="90"/>
        </w:rPr>
        <w:t>role</w:t>
      </w:r>
      <w:r>
        <w:rPr>
          <w:spacing w:val="1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>
          <w:w w:val="90"/>
        </w:rPr>
        <w:t>TFEB</w:t>
      </w:r>
      <w:r>
        <w:rPr>
          <w:spacing w:val="1"/>
          <w:w w:val="90"/>
        </w:rPr>
        <w:t> </w:t>
      </w:r>
      <w:r>
        <w:rPr>
          <w:w w:val="90"/>
        </w:rPr>
        <w:t>in</w:t>
      </w:r>
      <w:r>
        <w:rPr>
          <w:spacing w:val="1"/>
          <w:w w:val="90"/>
        </w:rPr>
        <w:t> </w:t>
      </w:r>
      <w:r>
        <w:rPr>
          <w:w w:val="90"/>
        </w:rPr>
        <w:t>asthma</w:t>
      </w:r>
      <w:r>
        <w:rPr>
          <w:spacing w:val="1"/>
          <w:w w:val="90"/>
        </w:rPr>
        <w:t> </w:t>
      </w:r>
      <w:r>
        <w:rPr>
          <w:w w:val="90"/>
        </w:rPr>
        <w:t>has</w:t>
      </w:r>
      <w:r>
        <w:rPr>
          <w:spacing w:val="1"/>
          <w:w w:val="90"/>
        </w:rPr>
        <w:t> </w:t>
      </w:r>
      <w:r>
        <w:rPr>
          <w:w w:val="90"/>
        </w:rPr>
        <w:t>not</w:t>
      </w:r>
      <w:r>
        <w:rPr>
          <w:spacing w:val="1"/>
          <w:w w:val="90"/>
        </w:rPr>
        <w:t> </w:t>
      </w:r>
      <w:r>
        <w:rPr>
          <w:w w:val="90"/>
        </w:rPr>
        <w:t>been</w:t>
      </w:r>
      <w:r>
        <w:rPr>
          <w:spacing w:val="1"/>
          <w:w w:val="90"/>
        </w:rPr>
        <w:t> </w:t>
      </w:r>
      <w:r>
        <w:rPr>
          <w:w w:val="90"/>
        </w:rPr>
        <w:t>reported.</w:t>
      </w:r>
      <w:r>
        <w:rPr>
          <w:spacing w:val="1"/>
          <w:w w:val="90"/>
        </w:rPr>
        <w:t> </w:t>
      </w:r>
      <w:r>
        <w:rPr>
          <w:w w:val="90"/>
        </w:rPr>
        <w:t>Methods: Peripheral blood was collected from asthmatic children, and</w:t>
      </w:r>
      <w:r>
        <w:rPr>
          <w:spacing w:val="1"/>
          <w:w w:val="90"/>
        </w:rPr>
        <w:t> </w:t>
      </w:r>
      <w:r>
        <w:rPr>
          <w:w w:val="90"/>
        </w:rPr>
        <w:t>TFEB mRNA was detected. A house dust mite (HDM)-induced asthma</w:t>
      </w:r>
      <w:r>
        <w:rPr>
          <w:spacing w:val="1"/>
          <w:w w:val="90"/>
        </w:rPr>
        <w:t> </w:t>
      </w:r>
      <w:r>
        <w:rPr>
          <w:w w:val="85"/>
        </w:rPr>
        <w:t>model was established to detect the TFEB, the MHC II and costimulatory</w:t>
      </w:r>
      <w:r>
        <w:rPr>
          <w:spacing w:val="1"/>
          <w:w w:val="85"/>
        </w:rPr>
        <w:t> </w:t>
      </w:r>
      <w:r>
        <w:rPr>
          <w:w w:val="90"/>
        </w:rPr>
        <w:t>molecules (CD40, CD80, and CD86) in DCs, and the CD4</w:t>
      </w:r>
      <w:r>
        <w:rPr>
          <w:w w:val="90"/>
          <w:position w:val="4"/>
          <w:sz w:val="12"/>
        </w:rPr>
        <w:t>+</w:t>
      </w:r>
      <w:r>
        <w:rPr>
          <w:spacing w:val="1"/>
          <w:w w:val="90"/>
          <w:position w:val="4"/>
          <w:sz w:val="12"/>
        </w:rPr>
        <w:t> </w:t>
      </w:r>
      <w:r>
        <w:rPr>
          <w:w w:val="90"/>
        </w:rPr>
        <w:t>effector T</w:t>
      </w:r>
      <w:r>
        <w:rPr>
          <w:spacing w:val="1"/>
          <w:w w:val="90"/>
        </w:rPr>
        <w:t> </w:t>
      </w:r>
      <w:r>
        <w:rPr>
          <w:w w:val="85"/>
        </w:rPr>
        <w:t>cells (Teffs), including Th1, Th2 and Th17 in vivo. After TFEB was inhibited,</w:t>
      </w:r>
      <w:r>
        <w:rPr>
          <w:spacing w:val="-38"/>
          <w:w w:val="85"/>
        </w:rPr>
        <w:t> </w:t>
      </w:r>
      <w:r>
        <w:rPr>
          <w:w w:val="90"/>
        </w:rPr>
        <w:t>the expression levels of MHC II and costimulatory molecules (CD40,</w:t>
      </w:r>
      <w:r>
        <w:rPr>
          <w:spacing w:val="1"/>
          <w:w w:val="90"/>
        </w:rPr>
        <w:t> </w:t>
      </w:r>
      <w:r>
        <w:rPr>
          <w:w w:val="95"/>
        </w:rPr>
        <w:t>CD80, and CD86) in DCs, the Teffs, and asthma phenotype were</w:t>
      </w:r>
      <w:r>
        <w:rPr>
          <w:spacing w:val="1"/>
          <w:w w:val="95"/>
        </w:rPr>
        <w:t> </w:t>
      </w:r>
      <w:r>
        <w:rPr>
          <w:w w:val="85"/>
        </w:rPr>
        <w:t>detected. Further, the specific mechanisms were further explored. Results:</w:t>
      </w:r>
      <w:r>
        <w:rPr>
          <w:spacing w:val="1"/>
          <w:w w:val="85"/>
        </w:rPr>
        <w:t> </w:t>
      </w:r>
      <w:r>
        <w:rPr>
          <w:w w:val="90"/>
        </w:rPr>
        <w:t>TFEB</w:t>
      </w:r>
      <w:r>
        <w:rPr>
          <w:spacing w:val="-3"/>
          <w:w w:val="90"/>
        </w:rPr>
        <w:t> </w:t>
      </w:r>
      <w:r>
        <w:rPr>
          <w:w w:val="90"/>
        </w:rPr>
        <w:t>mRNA</w:t>
      </w:r>
      <w:r>
        <w:rPr>
          <w:spacing w:val="-2"/>
          <w:w w:val="90"/>
        </w:rPr>
        <w:t> </w:t>
      </w:r>
      <w:r>
        <w:rPr>
          <w:w w:val="90"/>
        </w:rPr>
        <w:t>expression</w:t>
      </w:r>
      <w:r>
        <w:rPr>
          <w:spacing w:val="-2"/>
          <w:w w:val="90"/>
        </w:rPr>
        <w:t> </w:t>
      </w:r>
      <w:r>
        <w:rPr>
          <w:w w:val="90"/>
        </w:rPr>
        <w:t>levels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peripheral</w:t>
      </w:r>
      <w:r>
        <w:rPr>
          <w:spacing w:val="-2"/>
          <w:w w:val="90"/>
        </w:rPr>
        <w:t> </w:t>
      </w:r>
      <w:r>
        <w:rPr>
          <w:w w:val="90"/>
        </w:rPr>
        <w:t>blood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asthmatic</w:t>
      </w:r>
      <w:r>
        <w:rPr>
          <w:spacing w:val="-2"/>
          <w:w w:val="90"/>
        </w:rPr>
        <w:t> </w:t>
      </w:r>
      <w:r>
        <w:rPr>
          <w:w w:val="90"/>
        </w:rPr>
        <w:t>children</w:t>
      </w:r>
      <w:r>
        <w:rPr>
          <w:spacing w:val="-41"/>
          <w:w w:val="90"/>
        </w:rPr>
        <w:t> </w:t>
      </w:r>
      <w:r>
        <w:rPr>
          <w:w w:val="90"/>
        </w:rPr>
        <w:t>were significantly higher compared with healthy controls. In vivo and in</w:t>
      </w:r>
      <w:r>
        <w:rPr>
          <w:spacing w:val="1"/>
          <w:w w:val="90"/>
        </w:rPr>
        <w:t> </w:t>
      </w:r>
      <w:r>
        <w:rPr>
          <w:w w:val="85"/>
        </w:rPr>
        <w:t>vitro experiments showed that TFEB expression levels in lung tissues and</w:t>
      </w:r>
      <w:r>
        <w:rPr>
          <w:spacing w:val="1"/>
          <w:w w:val="85"/>
        </w:rPr>
        <w:t> </w:t>
      </w:r>
      <w:r>
        <w:rPr>
          <w:w w:val="90"/>
        </w:rPr>
        <w:t>DCs of asthmatic mice increased significantly after HDM treatment.</w:t>
      </w:r>
      <w:r>
        <w:rPr>
          <w:spacing w:val="1"/>
          <w:w w:val="90"/>
        </w:rPr>
        <w:t> </w:t>
      </w:r>
      <w:r>
        <w:rPr>
          <w:w w:val="90"/>
        </w:rPr>
        <w:t>Inhibiting TFEB expression resulted in a decrease in MHC II and CD40</w:t>
      </w:r>
      <w:r>
        <w:rPr>
          <w:spacing w:val="1"/>
          <w:w w:val="90"/>
        </w:rPr>
        <w:t> </w:t>
      </w:r>
      <w:r>
        <w:rPr>
          <w:w w:val="90"/>
        </w:rPr>
        <w:t>expression in DCs, as well as a decrease in Th1, Th2, and Th17 cell</w:t>
      </w:r>
      <w:r>
        <w:rPr>
          <w:spacing w:val="1"/>
          <w:w w:val="90"/>
        </w:rPr>
        <w:t> </w:t>
      </w:r>
      <w:r>
        <w:rPr>
          <w:w w:val="85"/>
        </w:rPr>
        <w:t>subsets. Meanwhile, inhibiting TFEB expression levels decreased airway</w:t>
      </w:r>
      <w:r>
        <w:rPr>
          <w:spacing w:val="1"/>
          <w:w w:val="85"/>
        </w:rPr>
        <w:t> </w:t>
      </w:r>
      <w:r>
        <w:rPr>
          <w:w w:val="90"/>
        </w:rPr>
        <w:t>hyperresponsiveness, airway inflammation, serum IgE, eosinophil and</w:t>
      </w:r>
      <w:r>
        <w:rPr>
          <w:spacing w:val="1"/>
          <w:w w:val="90"/>
        </w:rPr>
        <w:t> </w:t>
      </w:r>
      <w:r>
        <w:rPr>
          <w:w w:val="90"/>
        </w:rPr>
        <w:t>total cell count in alveolar lavage fluid in the asthma model. Conclusion:</w:t>
      </w:r>
      <w:r>
        <w:rPr>
          <w:spacing w:val="-41"/>
          <w:w w:val="90"/>
        </w:rPr>
        <w:t> </w:t>
      </w:r>
      <w:r>
        <w:rPr>
          <w:w w:val="85"/>
        </w:rPr>
        <w:t>TFEB expression is increased in asthma. Inhibiting TFEB expression levels</w:t>
      </w:r>
      <w:r>
        <w:rPr>
          <w:spacing w:val="1"/>
          <w:w w:val="85"/>
        </w:rPr>
        <w:t> </w:t>
      </w:r>
      <w:r>
        <w:rPr>
          <w:w w:val="90"/>
        </w:rPr>
        <w:t>in asthma can protect against immune overactivation by suppressing</w:t>
      </w:r>
      <w:r>
        <w:rPr>
          <w:spacing w:val="1"/>
          <w:w w:val="90"/>
        </w:rPr>
        <w:t> </w:t>
      </w:r>
      <w:r>
        <w:rPr>
          <w:w w:val="95"/>
        </w:rPr>
        <w:t>MHC II and CD40 in DCs and reducing the activation of Teffs, thus</w:t>
      </w:r>
      <w:r>
        <w:rPr>
          <w:spacing w:val="1"/>
          <w:w w:val="95"/>
        </w:rPr>
        <w:t> </w:t>
      </w:r>
      <w:r>
        <w:rPr>
          <w:w w:val="95"/>
        </w:rPr>
        <w:t>playing</w:t>
      </w:r>
      <w:r>
        <w:rPr>
          <w:spacing w:val="2"/>
          <w:w w:val="95"/>
        </w:rPr>
        <w:t> </w:t>
      </w:r>
      <w:r>
        <w:rPr>
          <w:w w:val="95"/>
        </w:rPr>
        <w:t>a</w:t>
      </w:r>
      <w:r>
        <w:rPr>
          <w:spacing w:val="2"/>
          <w:w w:val="95"/>
        </w:rPr>
        <w:t> </w:t>
      </w:r>
      <w:r>
        <w:rPr>
          <w:w w:val="95"/>
        </w:rPr>
        <w:t>protective</w:t>
      </w:r>
      <w:r>
        <w:rPr>
          <w:spacing w:val="2"/>
          <w:w w:val="95"/>
        </w:rPr>
        <w:t> </w:t>
      </w:r>
      <w:r>
        <w:rPr>
          <w:w w:val="95"/>
        </w:rPr>
        <w:t>role</w:t>
      </w:r>
      <w:r>
        <w:rPr>
          <w:spacing w:val="-4"/>
          <w:w w:val="95"/>
        </w:rPr>
        <w:t> </w:t>
      </w:r>
      <w:r>
        <w:rPr>
          <w:w w:val="95"/>
        </w:rPr>
        <w:t>in</w:t>
      </w:r>
      <w:r>
        <w:rPr>
          <w:spacing w:val="3"/>
          <w:w w:val="95"/>
        </w:rPr>
        <w:t> </w:t>
      </w:r>
      <w:r>
        <w:rPr>
          <w:w w:val="95"/>
        </w:rPr>
        <w:t>asthma.</w:t>
      </w:r>
    </w:p>
    <w:p>
      <w:pPr>
        <w:pStyle w:val="BodyText"/>
        <w:spacing w:before="7" w:after="39"/>
      </w:pPr>
      <w:r>
        <w:rPr/>
        <w:br w:type="column"/>
      </w:r>
      <w:r>
        <w:rPr/>
      </w:r>
    </w:p>
    <w:p>
      <w:pPr>
        <w:pStyle w:val="BodyText"/>
        <w:ind w:left="91"/>
        <w:rPr>
          <w:sz w:val="20"/>
        </w:rPr>
      </w:pPr>
      <w:r>
        <w:rPr>
          <w:sz w:val="20"/>
        </w:rPr>
        <w:drawing>
          <wp:inline distT="0" distB="0" distL="0" distR="0">
            <wp:extent cx="3163460" cy="1333500"/>
            <wp:effectExtent l="0" t="0" r="0" b="0"/>
            <wp:docPr id="1" name="image1.jpeg" descr="图示  描述已自动生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46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17"/>
        </w:rPr>
      </w:pPr>
    </w:p>
    <w:p>
      <w:pPr>
        <w:pStyle w:val="BodyText"/>
        <w:spacing w:line="348" w:lineRule="auto"/>
        <w:ind w:left="1772" w:right="173" w:hanging="1616"/>
      </w:pPr>
      <w:r>
        <w:rPr>
          <w:w w:val="90"/>
        </w:rPr>
        <w:t>Figure 1. The immune balance in asthma promoted by downregulation of</w:t>
      </w:r>
      <w:r>
        <w:rPr>
          <w:spacing w:val="-41"/>
          <w:w w:val="90"/>
        </w:rPr>
        <w:t> </w:t>
      </w:r>
      <w:r>
        <w:rPr>
          <w:w w:val="95"/>
        </w:rPr>
        <w:t>TFEB</w:t>
      </w:r>
      <w:r>
        <w:rPr>
          <w:spacing w:val="-5"/>
          <w:w w:val="95"/>
        </w:rPr>
        <w:t> </w:t>
      </w:r>
      <w:r>
        <w:rPr>
          <w:w w:val="95"/>
        </w:rPr>
        <w:t>in</w:t>
      </w:r>
      <w:r>
        <w:rPr>
          <w:spacing w:val="-3"/>
          <w:w w:val="95"/>
        </w:rPr>
        <w:t> </w:t>
      </w:r>
      <w:r>
        <w:rPr>
          <w:w w:val="95"/>
        </w:rPr>
        <w:t>dendritic</w:t>
      </w:r>
      <w:r>
        <w:rPr>
          <w:spacing w:val="-8"/>
          <w:w w:val="95"/>
        </w:rPr>
        <w:t> </w:t>
      </w:r>
      <w:r>
        <w:rPr>
          <w:w w:val="95"/>
        </w:rPr>
        <w:t>cells</w:t>
      </w:r>
      <w:r>
        <w:rPr>
          <w:spacing w:val="-4"/>
          <w:w w:val="95"/>
        </w:rPr>
        <w:t> </w:t>
      </w:r>
      <w:r>
        <w:rPr>
          <w:w w:val="95"/>
        </w:rPr>
        <w:t>(DCs).</w:t>
      </w:r>
    </w:p>
    <w:p>
      <w:pPr>
        <w:pStyle w:val="BodyText"/>
        <w:spacing w:before="7"/>
        <w:rPr>
          <w:sz w:val="16"/>
        </w:rPr>
      </w:pPr>
    </w:p>
    <w:p>
      <w:pPr>
        <w:pStyle w:val="Heading2"/>
        <w:ind w:left="92"/>
      </w:pPr>
      <w:r>
        <w:rPr>
          <w:color w:val="BE5A13"/>
        </w:rPr>
        <w:t>Recent</w:t>
      </w:r>
      <w:r>
        <w:rPr>
          <w:color w:val="BE5A13"/>
          <w:spacing w:val="-7"/>
        </w:rPr>
        <w:t> </w:t>
      </w:r>
      <w:r>
        <w:rPr>
          <w:color w:val="BE5A13"/>
        </w:rPr>
        <w:t>Publications</w:t>
      </w:r>
      <w:r>
        <w:rPr>
          <w:color w:val="BE5A13"/>
          <w:spacing w:val="-3"/>
        </w:rPr>
        <w:t> </w:t>
      </w:r>
      <w:r>
        <w:rPr>
          <w:color w:val="BE5A13"/>
        </w:rPr>
        <w:t>(minimum</w:t>
      </w:r>
      <w:r>
        <w:rPr>
          <w:color w:val="BE5A13"/>
          <w:spacing w:val="-3"/>
        </w:rPr>
        <w:t> </w:t>
      </w:r>
      <w:r>
        <w:rPr>
          <w:color w:val="BE5A13"/>
        </w:rPr>
        <w:t>5)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91" w:after="0"/>
        <w:ind w:left="477" w:right="120" w:hanging="285"/>
        <w:jc w:val="both"/>
        <w:rPr>
          <w:sz w:val="18"/>
        </w:rPr>
      </w:pPr>
      <w:r>
        <w:rPr>
          <w:b/>
          <w:sz w:val="18"/>
        </w:rPr>
        <w:t>Ding F</w:t>
      </w:r>
      <w:r>
        <w:rPr>
          <w:sz w:val="18"/>
        </w:rPr>
        <w:t>, Liu B, Niu C, Wang T, Wang Y, Geng G, Tian D, Dai J, Fu Z*.</w:t>
      </w:r>
      <w:r>
        <w:rPr>
          <w:spacing w:val="1"/>
          <w:sz w:val="18"/>
        </w:rPr>
        <w:t> </w:t>
      </w:r>
      <w:r>
        <w:rPr>
          <w:sz w:val="18"/>
        </w:rPr>
        <w:t>Low-Dose LPS Induces Tolerogenic Treg Skewing in Asthma. Front</w:t>
      </w:r>
      <w:r>
        <w:rPr>
          <w:spacing w:val="1"/>
          <w:sz w:val="18"/>
        </w:rPr>
        <w:t> </w:t>
      </w:r>
      <w:r>
        <w:rPr>
          <w:sz w:val="18"/>
        </w:rPr>
        <w:t>Immunol.</w:t>
      </w:r>
      <w:r>
        <w:rPr>
          <w:spacing w:val="-3"/>
          <w:sz w:val="18"/>
        </w:rPr>
        <w:t> </w:t>
      </w:r>
      <w:r>
        <w:rPr>
          <w:sz w:val="18"/>
        </w:rPr>
        <w:t>2020</w:t>
      </w:r>
      <w:r>
        <w:rPr>
          <w:spacing w:val="-2"/>
          <w:sz w:val="18"/>
        </w:rPr>
        <w:t> </w:t>
      </w:r>
      <w:r>
        <w:rPr>
          <w:sz w:val="18"/>
        </w:rPr>
        <w:t>Sep 23;11:2150.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91" w:after="0"/>
        <w:ind w:left="477" w:right="118" w:hanging="285"/>
        <w:jc w:val="both"/>
        <w:rPr>
          <w:sz w:val="18"/>
        </w:rPr>
      </w:pPr>
      <w:r>
        <w:rPr>
          <w:sz w:val="18"/>
        </w:rPr>
        <w:t>Yaping Wang, Bo Liu, Chao Niu, Wenjing Zou, Lili Yang, Ting Wang,</w:t>
      </w:r>
      <w:r>
        <w:rPr>
          <w:spacing w:val="1"/>
          <w:sz w:val="18"/>
        </w:rPr>
        <w:t> </w:t>
      </w:r>
      <w:r>
        <w:rPr>
          <w:sz w:val="18"/>
        </w:rPr>
        <w:t>Daiyin Tian, Zhengxiu Luo, Jihong Dai, Qubei Li, Enmei Liu, Caihui</w:t>
      </w:r>
      <w:r>
        <w:rPr>
          <w:spacing w:val="1"/>
          <w:sz w:val="18"/>
        </w:rPr>
        <w:t> </w:t>
      </w:r>
      <w:r>
        <w:rPr>
          <w:sz w:val="18"/>
        </w:rPr>
        <w:t>Gong , Zhou Fu, </w:t>
      </w:r>
      <w:r>
        <w:rPr>
          <w:b/>
          <w:sz w:val="18"/>
        </w:rPr>
        <w:t>Fengxia Ding*</w:t>
      </w:r>
      <w:r>
        <w:rPr>
          <w:sz w:val="18"/>
        </w:rPr>
        <w:t>, Blockade of GITRL/GITR signaling</w:t>
      </w:r>
      <w:r>
        <w:rPr>
          <w:spacing w:val="1"/>
          <w:sz w:val="18"/>
        </w:rPr>
        <w:t> </w:t>
      </w:r>
      <w:r>
        <w:rPr>
          <w:sz w:val="18"/>
        </w:rPr>
        <w:t>pathway</w:t>
      </w:r>
      <w:r>
        <w:rPr>
          <w:spacing w:val="37"/>
          <w:sz w:val="18"/>
        </w:rPr>
        <w:t> </w:t>
      </w:r>
      <w:r>
        <w:rPr>
          <w:sz w:val="18"/>
        </w:rPr>
        <w:t>attenuates</w:t>
      </w:r>
      <w:r>
        <w:rPr>
          <w:spacing w:val="40"/>
          <w:sz w:val="18"/>
        </w:rPr>
        <w:t> </w:t>
      </w:r>
      <w:r>
        <w:rPr>
          <w:sz w:val="18"/>
        </w:rPr>
        <w:t>house</w:t>
      </w:r>
      <w:r>
        <w:rPr>
          <w:spacing w:val="40"/>
          <w:sz w:val="18"/>
        </w:rPr>
        <w:t> </w:t>
      </w:r>
      <w:r>
        <w:rPr>
          <w:sz w:val="18"/>
        </w:rPr>
        <w:t>dust</w:t>
      </w:r>
      <w:r>
        <w:rPr>
          <w:spacing w:val="39"/>
          <w:sz w:val="18"/>
        </w:rPr>
        <w:t> </w:t>
      </w:r>
      <w:r>
        <w:rPr>
          <w:sz w:val="18"/>
        </w:rPr>
        <w:t>mite-induced</w:t>
      </w:r>
      <w:r>
        <w:rPr>
          <w:spacing w:val="1"/>
          <w:sz w:val="18"/>
        </w:rPr>
        <w:t> </w:t>
      </w:r>
      <w:r>
        <w:rPr>
          <w:sz w:val="18"/>
        </w:rPr>
        <w:t>allergic</w:t>
      </w:r>
      <w:r>
        <w:rPr>
          <w:spacing w:val="38"/>
          <w:sz w:val="18"/>
        </w:rPr>
        <w:t> </w:t>
      </w:r>
      <w:r>
        <w:rPr>
          <w:sz w:val="18"/>
        </w:rPr>
        <w:t>asthma</w:t>
      </w:r>
      <w:r>
        <w:rPr>
          <w:spacing w:val="39"/>
          <w:sz w:val="18"/>
        </w:rPr>
        <w:t> </w:t>
      </w:r>
      <w:r>
        <w:rPr>
          <w:sz w:val="18"/>
        </w:rPr>
        <w:t>in</w:t>
      </w:r>
    </w:p>
    <w:p>
      <w:pPr>
        <w:pStyle w:val="BodyText"/>
        <w:spacing w:line="144" w:lineRule="auto" w:before="14"/>
        <w:ind w:left="477"/>
        <w:rPr>
          <w:rFonts w:ascii="Calibri" w:hAnsi="Calibri" w:eastAsia="Calibri"/>
        </w:rPr>
      </w:pPr>
      <w:r>
        <w:rPr>
          <w:rFonts w:ascii="Calibri" w:hAnsi="Calibri" w:eastAsia="Calibri"/>
        </w:rPr>
        <w:t>mice</w:t>
      </w:r>
      <w:r>
        <w:rPr>
          <w:rFonts w:ascii="Calibri" w:hAnsi="Calibri" w:eastAsia="Calibri"/>
          <w:spacing w:val="10"/>
        </w:rPr>
        <w:t> </w:t>
      </w:r>
      <w:r>
        <w:rPr>
          <w:rFonts w:ascii="Calibri" w:hAnsi="Calibri" w:eastAsia="Calibri"/>
        </w:rPr>
        <w:t>through</w:t>
      </w:r>
      <w:r>
        <w:rPr>
          <w:rFonts w:ascii="Calibri" w:hAnsi="Calibri" w:eastAsia="Calibri"/>
          <w:spacing w:val="10"/>
        </w:rPr>
        <w:t> </w:t>
      </w:r>
      <w:r>
        <w:rPr>
          <w:rFonts w:ascii="Calibri" w:hAnsi="Calibri" w:eastAsia="Calibri"/>
        </w:rPr>
        <w:t>inhibition</w:t>
      </w:r>
      <w:r>
        <w:rPr>
          <w:rFonts w:ascii="Calibri" w:hAnsi="Calibri" w:eastAsia="Calibri"/>
          <w:spacing w:val="10"/>
        </w:rPr>
        <w:t> </w:t>
      </w:r>
      <w:r>
        <w:rPr>
          <w:rFonts w:ascii="Calibri" w:hAnsi="Calibri" w:eastAsia="Calibri"/>
        </w:rPr>
        <w:t>of</w:t>
      </w:r>
      <w:r>
        <w:rPr>
          <w:rFonts w:ascii="Calibri" w:hAnsi="Calibri" w:eastAsia="Calibri"/>
          <w:spacing w:val="10"/>
        </w:rPr>
        <w:t> </w:t>
      </w:r>
      <w:r>
        <w:rPr>
          <w:rFonts w:ascii="Calibri" w:hAnsi="Calibri" w:eastAsia="Calibri"/>
        </w:rPr>
        <w:t>MAPKs</w:t>
      </w:r>
      <w:r>
        <w:rPr>
          <w:rFonts w:ascii="Calibri" w:hAnsi="Calibri" w:eastAsia="Calibri"/>
          <w:spacing w:val="9"/>
        </w:rPr>
        <w:t> </w:t>
      </w:r>
      <w:r>
        <w:rPr>
          <w:rFonts w:ascii="Calibri" w:hAnsi="Calibri" w:eastAsia="Calibri"/>
        </w:rPr>
        <w:t>and</w:t>
      </w:r>
      <w:r>
        <w:rPr>
          <w:rFonts w:ascii="Calibri" w:hAnsi="Calibri" w:eastAsia="Calibri"/>
          <w:spacing w:val="11"/>
        </w:rPr>
        <w:t> </w:t>
      </w:r>
      <w:r>
        <w:rPr>
          <w:rFonts w:ascii="Calibri" w:hAnsi="Calibri" w:eastAsia="Calibri"/>
        </w:rPr>
        <w:t>NF-κB</w:t>
      </w:r>
      <w:r>
        <w:rPr>
          <w:rFonts w:ascii="Calibri" w:hAnsi="Calibri" w:eastAsia="Calibri"/>
          <w:spacing w:val="12"/>
        </w:rPr>
        <w:t> </w:t>
      </w:r>
      <w:r>
        <w:rPr>
          <w:rFonts w:ascii="Calibri" w:hAnsi="Calibri" w:eastAsia="Calibri"/>
        </w:rPr>
        <w:t>signaling</w:t>
      </w:r>
      <w:r>
        <w:rPr>
          <w:rFonts w:ascii="Microsoft YaHei" w:hAnsi="Microsoft YaHei" w:eastAsia="Microsoft YaHei" w:hint="eastAsia"/>
        </w:rPr>
        <w:t>，</w:t>
      </w:r>
      <w:r>
        <w:rPr>
          <w:rFonts w:ascii="Calibri" w:hAnsi="Calibri" w:eastAsia="Calibri"/>
        </w:rPr>
        <w:t>Molecular</w:t>
      </w:r>
      <w:r>
        <w:rPr>
          <w:rFonts w:ascii="Calibri" w:hAnsi="Calibri" w:eastAsia="Calibri"/>
          <w:spacing w:val="-38"/>
        </w:rPr>
        <w:t> </w:t>
      </w:r>
      <w:r>
        <w:rPr>
          <w:rFonts w:ascii="Calibri" w:hAnsi="Calibri" w:eastAsia="Calibri"/>
        </w:rPr>
        <w:t>Immunology</w:t>
      </w:r>
      <w:r>
        <w:rPr>
          <w:rFonts w:ascii="Microsoft YaHei" w:hAnsi="Microsoft YaHei" w:eastAsia="Microsoft YaHei" w:hint="eastAsia"/>
        </w:rPr>
        <w:t>，</w:t>
      </w:r>
      <w:r>
        <w:rPr>
          <w:rFonts w:ascii="Calibri" w:hAnsi="Calibri" w:eastAsia="Calibri"/>
        </w:rPr>
        <w:t>2021</w:t>
      </w:r>
      <w:r>
        <w:rPr>
          <w:rFonts w:ascii="Calibri" w:hAnsi="Calibri" w:eastAsia="Calibri"/>
          <w:spacing w:val="-3"/>
        </w:rPr>
        <w:t> </w:t>
      </w:r>
      <w:r>
        <w:rPr>
          <w:rFonts w:ascii="Calibri" w:hAnsi="Calibri" w:eastAsia="Calibri"/>
        </w:rPr>
        <w:t>Sep;137:238-246.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78" w:after="0"/>
        <w:ind w:left="477" w:right="116" w:hanging="285"/>
        <w:jc w:val="both"/>
        <w:rPr>
          <w:sz w:val="18"/>
        </w:rPr>
      </w:pPr>
      <w:r>
        <w:rPr>
          <w:spacing w:val="-1"/>
          <w:sz w:val="18"/>
        </w:rPr>
        <w:t>Yaping</w:t>
      </w:r>
      <w:r>
        <w:rPr>
          <w:spacing w:val="-9"/>
          <w:sz w:val="18"/>
        </w:rPr>
        <w:t> </w:t>
      </w:r>
      <w:r>
        <w:rPr>
          <w:sz w:val="18"/>
        </w:rPr>
        <w:t>Wang,</w:t>
      </w:r>
      <w:r>
        <w:rPr>
          <w:spacing w:val="-8"/>
          <w:sz w:val="18"/>
        </w:rPr>
        <w:t> </w:t>
      </w:r>
      <w:r>
        <w:rPr>
          <w:sz w:val="18"/>
        </w:rPr>
        <w:t>Kou</w:t>
      </w:r>
      <w:r>
        <w:rPr>
          <w:spacing w:val="-8"/>
          <w:sz w:val="18"/>
        </w:rPr>
        <w:t> </w:t>
      </w:r>
      <w:r>
        <w:rPr>
          <w:sz w:val="18"/>
        </w:rPr>
        <w:t>Liao,</w:t>
      </w:r>
      <w:r>
        <w:rPr>
          <w:spacing w:val="-8"/>
          <w:sz w:val="18"/>
        </w:rPr>
        <w:t> </w:t>
      </w:r>
      <w:r>
        <w:rPr>
          <w:sz w:val="18"/>
        </w:rPr>
        <w:t>Bo</w:t>
      </w:r>
      <w:r>
        <w:rPr>
          <w:spacing w:val="-8"/>
          <w:sz w:val="18"/>
        </w:rPr>
        <w:t> </w:t>
      </w:r>
      <w:r>
        <w:rPr>
          <w:sz w:val="18"/>
        </w:rPr>
        <w:t>Liu,</w:t>
      </w:r>
      <w:r>
        <w:rPr>
          <w:spacing w:val="-8"/>
          <w:sz w:val="18"/>
        </w:rPr>
        <w:t> </w:t>
      </w:r>
      <w:r>
        <w:rPr>
          <w:sz w:val="18"/>
        </w:rPr>
        <w:t>Chao</w:t>
      </w:r>
      <w:r>
        <w:rPr>
          <w:spacing w:val="-8"/>
          <w:sz w:val="18"/>
        </w:rPr>
        <w:t> </w:t>
      </w:r>
      <w:r>
        <w:rPr>
          <w:sz w:val="18"/>
        </w:rPr>
        <w:t>Niu,</w:t>
      </w:r>
      <w:r>
        <w:rPr>
          <w:spacing w:val="-9"/>
          <w:sz w:val="18"/>
        </w:rPr>
        <w:t> </w:t>
      </w:r>
      <w:r>
        <w:rPr>
          <w:sz w:val="18"/>
        </w:rPr>
        <w:t>Wenjing</w:t>
      </w:r>
      <w:r>
        <w:rPr>
          <w:spacing w:val="-8"/>
          <w:sz w:val="18"/>
        </w:rPr>
        <w:t> </w:t>
      </w:r>
      <w:r>
        <w:rPr>
          <w:sz w:val="18"/>
        </w:rPr>
        <w:t>Zou,</w:t>
      </w:r>
      <w:r>
        <w:rPr>
          <w:spacing w:val="-8"/>
          <w:sz w:val="18"/>
        </w:rPr>
        <w:t> </w:t>
      </w:r>
      <w:r>
        <w:rPr>
          <w:sz w:val="18"/>
        </w:rPr>
        <w:t>Lili</w:t>
      </w:r>
      <w:r>
        <w:rPr>
          <w:spacing w:val="-10"/>
          <w:sz w:val="18"/>
        </w:rPr>
        <w:t> </w:t>
      </w:r>
      <w:r>
        <w:rPr>
          <w:sz w:val="18"/>
        </w:rPr>
        <w:t>Yang,</w:t>
      </w:r>
      <w:r>
        <w:rPr>
          <w:spacing w:val="-8"/>
          <w:sz w:val="18"/>
        </w:rPr>
        <w:t> </w:t>
      </w:r>
      <w:r>
        <w:rPr>
          <w:sz w:val="18"/>
        </w:rPr>
        <w:t>Ting</w:t>
      </w:r>
      <w:r>
        <w:rPr>
          <w:spacing w:val="-38"/>
          <w:sz w:val="18"/>
        </w:rPr>
        <w:t> </w:t>
      </w:r>
      <w:r>
        <w:rPr>
          <w:sz w:val="18"/>
        </w:rPr>
        <w:t>Wang, Daiyin Tian, Zhengxiu Luo, Jihong Dai, Qubei Li, Enmei Liu,</w:t>
      </w:r>
      <w:r>
        <w:rPr>
          <w:spacing w:val="1"/>
          <w:sz w:val="18"/>
        </w:rPr>
        <w:t> </w:t>
      </w:r>
      <w:r>
        <w:rPr>
          <w:sz w:val="18"/>
        </w:rPr>
        <w:t>Caihui</w:t>
      </w:r>
      <w:r>
        <w:rPr>
          <w:spacing w:val="-10"/>
          <w:sz w:val="18"/>
        </w:rPr>
        <w:t> </w:t>
      </w:r>
      <w:r>
        <w:rPr>
          <w:sz w:val="18"/>
        </w:rPr>
        <w:t>Gong,</w:t>
      </w:r>
      <w:r>
        <w:rPr>
          <w:spacing w:val="-7"/>
          <w:sz w:val="18"/>
        </w:rPr>
        <w:t> </w:t>
      </w:r>
      <w:r>
        <w:rPr>
          <w:sz w:val="18"/>
        </w:rPr>
        <w:t>Zhou</w:t>
      </w:r>
      <w:r>
        <w:rPr>
          <w:spacing w:val="-3"/>
          <w:sz w:val="18"/>
        </w:rPr>
        <w:t> </w:t>
      </w:r>
      <w:r>
        <w:rPr>
          <w:sz w:val="18"/>
        </w:rPr>
        <w:t>Fu,</w:t>
      </w:r>
      <w:r>
        <w:rPr>
          <w:spacing w:val="-7"/>
          <w:sz w:val="18"/>
        </w:rPr>
        <w:t> </w:t>
      </w:r>
      <w:r>
        <w:rPr>
          <w:sz w:val="18"/>
        </w:rPr>
        <w:t>Ying</w:t>
      </w:r>
      <w:r>
        <w:rPr>
          <w:spacing w:val="-7"/>
          <w:sz w:val="18"/>
        </w:rPr>
        <w:t> </w:t>
      </w:r>
      <w:r>
        <w:rPr>
          <w:sz w:val="18"/>
        </w:rPr>
        <w:t>Li*and</w:t>
      </w:r>
      <w:r>
        <w:rPr>
          <w:spacing w:val="1"/>
          <w:sz w:val="18"/>
        </w:rPr>
        <w:t> </w:t>
      </w:r>
      <w:r>
        <w:rPr>
          <w:b/>
          <w:sz w:val="18"/>
        </w:rPr>
        <w:t>Fengxia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Ding*</w:t>
      </w:r>
      <w:r>
        <w:rPr>
          <w:sz w:val="18"/>
        </w:rPr>
        <w:t>.</w:t>
      </w:r>
      <w:r>
        <w:rPr>
          <w:spacing w:val="-9"/>
          <w:sz w:val="18"/>
        </w:rPr>
        <w:t> </w:t>
      </w:r>
      <w:r>
        <w:rPr>
          <w:sz w:val="18"/>
        </w:rPr>
        <w:t>GITRL</w:t>
      </w:r>
      <w:r>
        <w:rPr>
          <w:spacing w:val="-8"/>
          <w:sz w:val="18"/>
        </w:rPr>
        <w:t> </w:t>
      </w:r>
      <w:r>
        <w:rPr>
          <w:sz w:val="18"/>
        </w:rPr>
        <w:t>on</w:t>
      </w:r>
      <w:r>
        <w:rPr>
          <w:spacing w:val="-7"/>
          <w:sz w:val="18"/>
        </w:rPr>
        <w:t> </w:t>
      </w:r>
      <w:r>
        <w:rPr>
          <w:sz w:val="18"/>
        </w:rPr>
        <w:t>dendritic</w:t>
      </w:r>
      <w:r>
        <w:rPr>
          <w:spacing w:val="-38"/>
          <w:sz w:val="18"/>
        </w:rPr>
        <w:t> </w:t>
      </w:r>
      <w:r>
        <w:rPr>
          <w:sz w:val="18"/>
        </w:rPr>
        <w:t>cells aggravates house dust mite-induced airway inflammation and</w:t>
      </w:r>
      <w:r>
        <w:rPr>
          <w:spacing w:val="1"/>
          <w:sz w:val="18"/>
        </w:rPr>
        <w:t> </w:t>
      </w:r>
      <w:r>
        <w:rPr>
          <w:sz w:val="18"/>
        </w:rPr>
        <w:t>airway</w:t>
      </w:r>
      <w:r>
        <w:rPr>
          <w:spacing w:val="1"/>
          <w:sz w:val="18"/>
        </w:rPr>
        <w:t> </w:t>
      </w:r>
      <w:r>
        <w:rPr>
          <w:sz w:val="18"/>
        </w:rPr>
        <w:t>hyperresponsiveness</w:t>
      </w:r>
      <w:r>
        <w:rPr>
          <w:spacing w:val="1"/>
          <w:sz w:val="18"/>
        </w:rPr>
        <w:t> </w:t>
      </w:r>
      <w:r>
        <w:rPr>
          <w:sz w:val="18"/>
        </w:rPr>
        <w:t>by</w:t>
      </w:r>
      <w:r>
        <w:rPr>
          <w:spacing w:val="1"/>
          <w:sz w:val="18"/>
        </w:rPr>
        <w:t> </w:t>
      </w:r>
      <w:r>
        <w:rPr>
          <w:sz w:val="18"/>
        </w:rPr>
        <w:t>modulating</w:t>
      </w:r>
      <w:r>
        <w:rPr>
          <w:spacing w:val="1"/>
          <w:sz w:val="18"/>
        </w:rPr>
        <w:t> </w:t>
      </w:r>
      <w:r>
        <w:rPr>
          <w:sz w:val="18"/>
        </w:rPr>
        <w:t>CD4+T</w:t>
      </w:r>
      <w:r>
        <w:rPr>
          <w:spacing w:val="1"/>
          <w:sz w:val="18"/>
        </w:rPr>
        <w:t> </w:t>
      </w:r>
      <w:r>
        <w:rPr>
          <w:sz w:val="18"/>
        </w:rPr>
        <w:t>cell</w:t>
      </w:r>
      <w:r>
        <w:rPr>
          <w:spacing w:val="1"/>
          <w:sz w:val="18"/>
        </w:rPr>
        <w:t> </w:t>
      </w:r>
      <w:r>
        <w:rPr>
          <w:sz w:val="18"/>
        </w:rPr>
        <w:t>differentiation.</w:t>
      </w:r>
      <w:r>
        <w:rPr>
          <w:spacing w:val="-3"/>
          <w:sz w:val="18"/>
        </w:rPr>
        <w:t> </w:t>
      </w:r>
      <w:r>
        <w:rPr>
          <w:sz w:val="18"/>
        </w:rPr>
        <w:t>Respir</w:t>
      </w:r>
      <w:r>
        <w:rPr>
          <w:spacing w:val="1"/>
          <w:sz w:val="18"/>
        </w:rPr>
        <w:t> </w:t>
      </w:r>
      <w:r>
        <w:rPr>
          <w:sz w:val="18"/>
        </w:rPr>
        <w:t>Res.</w:t>
      </w:r>
      <w:r>
        <w:rPr>
          <w:spacing w:val="-2"/>
          <w:sz w:val="18"/>
        </w:rPr>
        <w:t> </w:t>
      </w:r>
      <w:r>
        <w:rPr>
          <w:sz w:val="18"/>
        </w:rPr>
        <w:t>2021;22(1):46.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91" w:after="0"/>
        <w:ind w:left="477" w:right="115" w:hanging="285"/>
        <w:jc w:val="both"/>
        <w:rPr>
          <w:sz w:val="18"/>
        </w:rPr>
      </w:pPr>
      <w:r>
        <w:rPr>
          <w:sz w:val="18"/>
        </w:rPr>
        <w:t>Tang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position w:val="5"/>
          <w:sz w:val="12"/>
        </w:rPr>
        <w:t>#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b/>
          <w:sz w:val="18"/>
        </w:rPr>
        <w:t>Ding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F</w:t>
      </w:r>
      <w:r>
        <w:rPr>
          <w:b/>
          <w:position w:val="5"/>
          <w:sz w:val="12"/>
        </w:rPr>
        <w:t>#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Wu</w:t>
      </w:r>
      <w:r>
        <w:rPr>
          <w:spacing w:val="1"/>
          <w:sz w:val="18"/>
        </w:rPr>
        <w:t> </w:t>
      </w:r>
      <w:r>
        <w:rPr>
          <w:sz w:val="18"/>
        </w:rPr>
        <w:t>C,</w:t>
      </w:r>
      <w:r>
        <w:rPr>
          <w:spacing w:val="1"/>
          <w:sz w:val="18"/>
        </w:rPr>
        <w:t> </w:t>
      </w:r>
      <w:r>
        <w:rPr>
          <w:sz w:val="18"/>
        </w:rPr>
        <w:t>Liu</w:t>
      </w:r>
      <w:r>
        <w:rPr>
          <w:spacing w:val="1"/>
          <w:sz w:val="18"/>
        </w:rPr>
        <w:t> </w:t>
      </w:r>
      <w:r>
        <w:rPr>
          <w:sz w:val="18"/>
        </w:rPr>
        <w:t>B.</w:t>
      </w:r>
      <w:r>
        <w:rPr>
          <w:spacing w:val="1"/>
          <w:sz w:val="18"/>
        </w:rPr>
        <w:t> </w:t>
      </w:r>
      <w:r>
        <w:rPr>
          <w:sz w:val="18"/>
        </w:rPr>
        <w:t>hucMSC</w:t>
      </w:r>
      <w:r>
        <w:rPr>
          <w:spacing w:val="1"/>
          <w:sz w:val="18"/>
        </w:rPr>
        <w:t> </w:t>
      </w:r>
      <w:r>
        <w:rPr>
          <w:sz w:val="18"/>
        </w:rPr>
        <w:t>Conditioned</w:t>
      </w:r>
      <w:r>
        <w:rPr>
          <w:spacing w:val="1"/>
          <w:sz w:val="18"/>
        </w:rPr>
        <w:t> </w:t>
      </w:r>
      <w:r>
        <w:rPr>
          <w:sz w:val="18"/>
        </w:rPr>
        <w:t>Medium</w:t>
      </w:r>
      <w:r>
        <w:rPr>
          <w:spacing w:val="1"/>
          <w:sz w:val="18"/>
        </w:rPr>
        <w:t> </w:t>
      </w:r>
      <w:r>
        <w:rPr>
          <w:sz w:val="18"/>
        </w:rPr>
        <w:t>Ameliorate</w:t>
      </w:r>
      <w:r>
        <w:rPr>
          <w:spacing w:val="1"/>
          <w:sz w:val="18"/>
        </w:rPr>
        <w:t> </w:t>
      </w:r>
      <w:r>
        <w:rPr>
          <w:sz w:val="18"/>
        </w:rPr>
        <w:t>Lipopolysaccharide-Induced</w:t>
      </w:r>
      <w:r>
        <w:rPr>
          <w:spacing w:val="1"/>
          <w:sz w:val="18"/>
        </w:rPr>
        <w:t> </w:t>
      </w:r>
      <w:r>
        <w:rPr>
          <w:sz w:val="18"/>
        </w:rPr>
        <w:t>Acute</w:t>
      </w:r>
      <w:r>
        <w:rPr>
          <w:spacing w:val="1"/>
          <w:sz w:val="18"/>
        </w:rPr>
        <w:t> </w:t>
      </w:r>
      <w:r>
        <w:rPr>
          <w:sz w:val="18"/>
        </w:rPr>
        <w:t>Lung</w:t>
      </w:r>
      <w:r>
        <w:rPr>
          <w:spacing w:val="1"/>
          <w:sz w:val="18"/>
        </w:rPr>
        <w:t> </w:t>
      </w:r>
      <w:r>
        <w:rPr>
          <w:sz w:val="18"/>
        </w:rPr>
        <w:t>Injury</w:t>
      </w:r>
      <w:r>
        <w:rPr>
          <w:spacing w:val="1"/>
          <w:sz w:val="18"/>
        </w:rPr>
        <w:t> </w:t>
      </w:r>
      <w:r>
        <w:rPr>
          <w:sz w:val="18"/>
        </w:rPr>
        <w:t>by</w:t>
      </w:r>
      <w:r>
        <w:rPr>
          <w:spacing w:val="1"/>
          <w:sz w:val="18"/>
        </w:rPr>
        <w:t> </w:t>
      </w:r>
      <w:r>
        <w:rPr>
          <w:sz w:val="18"/>
        </w:rPr>
        <w:t>Suppressing</w:t>
      </w:r>
      <w:r>
        <w:rPr>
          <w:spacing w:val="1"/>
          <w:sz w:val="18"/>
        </w:rPr>
        <w:t> </w:t>
      </w:r>
      <w:r>
        <w:rPr>
          <w:sz w:val="18"/>
        </w:rPr>
        <w:t>Oxidative</w:t>
      </w:r>
      <w:r>
        <w:rPr>
          <w:spacing w:val="1"/>
          <w:sz w:val="18"/>
        </w:rPr>
        <w:t> </w:t>
      </w:r>
      <w:r>
        <w:rPr>
          <w:sz w:val="18"/>
        </w:rPr>
        <w:t>Stress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Inflammation</w:t>
      </w:r>
      <w:r>
        <w:rPr>
          <w:spacing w:val="1"/>
          <w:sz w:val="18"/>
        </w:rPr>
        <w:t> </w:t>
      </w:r>
      <w:r>
        <w:rPr>
          <w:sz w:val="18"/>
        </w:rPr>
        <w:t>via</w:t>
      </w:r>
      <w:r>
        <w:rPr>
          <w:spacing w:val="1"/>
          <w:sz w:val="18"/>
        </w:rPr>
        <w:t> </w:t>
      </w:r>
      <w:r>
        <w:rPr>
          <w:sz w:val="18"/>
        </w:rPr>
        <w:t>Nrf2/NF-κB</w:t>
      </w:r>
      <w:r>
        <w:rPr>
          <w:spacing w:val="1"/>
          <w:sz w:val="18"/>
        </w:rPr>
        <w:t> </w:t>
      </w:r>
      <w:r>
        <w:rPr>
          <w:sz w:val="18"/>
        </w:rPr>
        <w:t>Signaling</w:t>
      </w:r>
      <w:r>
        <w:rPr>
          <w:spacing w:val="-3"/>
          <w:sz w:val="18"/>
        </w:rPr>
        <w:t> </w:t>
      </w:r>
      <w:r>
        <w:rPr>
          <w:sz w:val="18"/>
        </w:rPr>
        <w:t>Pathway.</w:t>
      </w:r>
      <w:r>
        <w:rPr>
          <w:spacing w:val="-4"/>
          <w:sz w:val="18"/>
        </w:rPr>
        <w:t> </w:t>
      </w:r>
      <w:r>
        <w:rPr>
          <w:sz w:val="18"/>
        </w:rPr>
        <w:t>Anal</w:t>
      </w:r>
      <w:r>
        <w:rPr>
          <w:spacing w:val="-5"/>
          <w:sz w:val="18"/>
        </w:rPr>
        <w:t> </w:t>
      </w:r>
      <w:r>
        <w:rPr>
          <w:sz w:val="18"/>
        </w:rPr>
        <w:t>Cell</w:t>
      </w:r>
      <w:r>
        <w:rPr>
          <w:spacing w:val="-5"/>
          <w:sz w:val="18"/>
        </w:rPr>
        <w:t> </w:t>
      </w:r>
      <w:r>
        <w:rPr>
          <w:sz w:val="18"/>
        </w:rPr>
        <w:t>Pathol</w:t>
      </w:r>
      <w:r>
        <w:rPr>
          <w:spacing w:val="-4"/>
          <w:sz w:val="18"/>
        </w:rPr>
        <w:t> </w:t>
      </w:r>
      <w:r>
        <w:rPr>
          <w:sz w:val="18"/>
        </w:rPr>
        <w:t>(Amst).</w:t>
      </w:r>
      <w:r>
        <w:rPr>
          <w:spacing w:val="-3"/>
          <w:sz w:val="18"/>
        </w:rPr>
        <w:t> </w:t>
      </w:r>
      <w:r>
        <w:rPr>
          <w:sz w:val="18"/>
        </w:rPr>
        <w:t>2021;2021:6653681.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91" w:after="0"/>
        <w:ind w:left="477" w:right="118" w:hanging="285"/>
        <w:jc w:val="both"/>
        <w:rPr>
          <w:sz w:val="18"/>
        </w:rPr>
      </w:pPr>
      <w:r>
        <w:rPr>
          <w:b/>
          <w:sz w:val="18"/>
        </w:rPr>
        <w:t>Ding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FX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Liu</w:t>
      </w:r>
      <w:r>
        <w:rPr>
          <w:spacing w:val="1"/>
          <w:sz w:val="18"/>
        </w:rPr>
        <w:t> </w:t>
      </w:r>
      <w:r>
        <w:rPr>
          <w:sz w:val="18"/>
        </w:rPr>
        <w:t>B,</w:t>
      </w:r>
      <w:r>
        <w:rPr>
          <w:spacing w:val="1"/>
          <w:sz w:val="18"/>
        </w:rPr>
        <w:t> </w:t>
      </w:r>
      <w:r>
        <w:rPr>
          <w:sz w:val="18"/>
        </w:rPr>
        <w:t>Zou</w:t>
      </w:r>
      <w:r>
        <w:rPr>
          <w:spacing w:val="1"/>
          <w:sz w:val="18"/>
        </w:rPr>
        <w:t> </w:t>
      </w:r>
      <w:r>
        <w:rPr>
          <w:sz w:val="18"/>
        </w:rPr>
        <w:t>WJ,</w:t>
      </w:r>
      <w:r>
        <w:rPr>
          <w:spacing w:val="1"/>
          <w:sz w:val="18"/>
        </w:rPr>
        <w:t> </w:t>
      </w:r>
      <w:r>
        <w:rPr>
          <w:sz w:val="18"/>
        </w:rPr>
        <w:t>Li</w:t>
      </w:r>
      <w:r>
        <w:rPr>
          <w:spacing w:val="1"/>
          <w:sz w:val="18"/>
        </w:rPr>
        <w:t> </w:t>
      </w:r>
      <w:r>
        <w:rPr>
          <w:sz w:val="18"/>
        </w:rPr>
        <w:t>QB,</w:t>
      </w:r>
      <w:r>
        <w:rPr>
          <w:spacing w:val="1"/>
          <w:sz w:val="18"/>
        </w:rPr>
        <w:t> </w:t>
      </w:r>
      <w:r>
        <w:rPr>
          <w:sz w:val="18"/>
        </w:rPr>
        <w:t>Tian</w:t>
      </w:r>
      <w:r>
        <w:rPr>
          <w:spacing w:val="1"/>
          <w:sz w:val="18"/>
        </w:rPr>
        <w:t> </w:t>
      </w:r>
      <w:r>
        <w:rPr>
          <w:sz w:val="18"/>
        </w:rPr>
        <w:t>DY,</w:t>
      </w:r>
      <w:r>
        <w:rPr>
          <w:spacing w:val="1"/>
          <w:sz w:val="18"/>
        </w:rPr>
        <w:t> </w:t>
      </w:r>
      <w:r>
        <w:rPr>
          <w:sz w:val="18"/>
        </w:rPr>
        <w:t>Fu</w:t>
      </w:r>
      <w:r>
        <w:rPr>
          <w:spacing w:val="1"/>
          <w:sz w:val="18"/>
        </w:rPr>
        <w:t> </w:t>
      </w:r>
      <w:r>
        <w:rPr>
          <w:sz w:val="18"/>
        </w:rPr>
        <w:t>Z.</w:t>
      </w:r>
      <w:r>
        <w:rPr>
          <w:spacing w:val="1"/>
          <w:sz w:val="18"/>
        </w:rPr>
        <w:t> </w:t>
      </w:r>
      <w:r>
        <w:rPr>
          <w:sz w:val="18"/>
        </w:rPr>
        <w:t>Pseudomonas</w:t>
      </w:r>
      <w:r>
        <w:rPr>
          <w:spacing w:val="1"/>
          <w:sz w:val="18"/>
        </w:rPr>
        <w:t> </w:t>
      </w:r>
      <w:r>
        <w:rPr>
          <w:sz w:val="18"/>
        </w:rPr>
        <w:t>aeruginosa-derived</w:t>
      </w:r>
      <w:r>
        <w:rPr>
          <w:spacing w:val="1"/>
          <w:sz w:val="18"/>
        </w:rPr>
        <w:t> </w:t>
      </w:r>
      <w:r>
        <w:rPr>
          <w:sz w:val="18"/>
        </w:rPr>
        <w:t>exosomes</w:t>
      </w:r>
      <w:r>
        <w:rPr>
          <w:spacing w:val="1"/>
          <w:sz w:val="18"/>
        </w:rPr>
        <w:t> </w:t>
      </w:r>
      <w:r>
        <w:rPr>
          <w:sz w:val="18"/>
        </w:rPr>
        <w:t>ameliorates</w:t>
      </w:r>
      <w:r>
        <w:rPr>
          <w:spacing w:val="1"/>
          <w:sz w:val="18"/>
        </w:rPr>
        <w:t> </w:t>
      </w:r>
      <w:r>
        <w:rPr>
          <w:sz w:val="18"/>
        </w:rPr>
        <w:t>allergic</w:t>
      </w:r>
      <w:r>
        <w:rPr>
          <w:spacing w:val="1"/>
          <w:sz w:val="18"/>
        </w:rPr>
        <w:t> </w:t>
      </w:r>
      <w:r>
        <w:rPr>
          <w:sz w:val="18"/>
        </w:rPr>
        <w:t>reactions</w:t>
      </w:r>
      <w:r>
        <w:rPr>
          <w:spacing w:val="1"/>
          <w:sz w:val="18"/>
        </w:rPr>
        <w:t> </w:t>
      </w:r>
      <w:r>
        <w:rPr>
          <w:sz w:val="18"/>
        </w:rPr>
        <w:t>via</w:t>
      </w:r>
      <w:r>
        <w:rPr>
          <w:spacing w:val="1"/>
          <w:sz w:val="18"/>
        </w:rPr>
        <w:t> </w:t>
      </w:r>
      <w:r>
        <w:rPr>
          <w:sz w:val="18"/>
        </w:rPr>
        <w:t>inducing the Treg response in asthma. Pediatr Res. 2018;84(1):125-</w:t>
      </w:r>
      <w:r>
        <w:rPr>
          <w:spacing w:val="1"/>
          <w:sz w:val="18"/>
        </w:rPr>
        <w:t> </w:t>
      </w:r>
      <w:r>
        <w:rPr>
          <w:sz w:val="18"/>
        </w:rPr>
        <w:t>133.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90" w:after="0"/>
        <w:ind w:left="477" w:right="108" w:hanging="285"/>
        <w:jc w:val="both"/>
        <w:rPr>
          <w:sz w:val="18"/>
        </w:rPr>
      </w:pPr>
      <w:r>
        <w:rPr>
          <w:b/>
          <w:sz w:val="18"/>
        </w:rPr>
        <w:t>Ding F</w:t>
      </w:r>
      <w:r>
        <w:rPr>
          <w:sz w:val="18"/>
        </w:rPr>
        <w:t>, Liu B, Zou W, Tian D, Li Q, Dai J, Luo Z, Fu Z. LPS Exposure in</w:t>
      </w:r>
      <w:r>
        <w:rPr>
          <w:spacing w:val="1"/>
          <w:sz w:val="18"/>
        </w:rPr>
        <w:t> </w:t>
      </w:r>
      <w:r>
        <w:rPr>
          <w:sz w:val="18"/>
        </w:rPr>
        <w:t>Early</w:t>
      </w:r>
      <w:r>
        <w:rPr>
          <w:spacing w:val="1"/>
          <w:sz w:val="18"/>
        </w:rPr>
        <w:t> </w:t>
      </w:r>
      <w:r>
        <w:rPr>
          <w:sz w:val="18"/>
        </w:rPr>
        <w:t>Life</w:t>
      </w:r>
      <w:r>
        <w:rPr>
          <w:spacing w:val="1"/>
          <w:sz w:val="18"/>
        </w:rPr>
        <w:t> </w:t>
      </w:r>
      <w:r>
        <w:rPr>
          <w:sz w:val="18"/>
        </w:rPr>
        <w:t>Protects</w:t>
      </w:r>
      <w:r>
        <w:rPr>
          <w:spacing w:val="1"/>
          <w:sz w:val="18"/>
        </w:rPr>
        <w:t> </w:t>
      </w:r>
      <w:r>
        <w:rPr>
          <w:sz w:val="18"/>
        </w:rPr>
        <w:t>Against</w:t>
      </w:r>
      <w:r>
        <w:rPr>
          <w:spacing w:val="1"/>
          <w:sz w:val="18"/>
        </w:rPr>
        <w:t> </w:t>
      </w:r>
      <w:r>
        <w:rPr>
          <w:sz w:val="18"/>
        </w:rPr>
        <w:t>Mucus</w:t>
      </w:r>
      <w:r>
        <w:rPr>
          <w:spacing w:val="1"/>
          <w:sz w:val="18"/>
        </w:rPr>
        <w:t> </w:t>
      </w:r>
      <w:r>
        <w:rPr>
          <w:sz w:val="18"/>
        </w:rPr>
        <w:t>Hypersecretion</w:t>
      </w:r>
      <w:r>
        <w:rPr>
          <w:spacing w:val="1"/>
          <w:sz w:val="18"/>
        </w:rPr>
        <w:t> </w:t>
      </w:r>
      <w:r>
        <w:rPr>
          <w:sz w:val="18"/>
        </w:rPr>
        <w:t>in Ovalbumin-</w:t>
      </w:r>
      <w:r>
        <w:rPr>
          <w:spacing w:val="1"/>
          <w:sz w:val="18"/>
        </w:rPr>
        <w:t> </w:t>
      </w:r>
      <w:r>
        <w:rPr>
          <w:sz w:val="18"/>
        </w:rPr>
        <w:t>Induced Asthma by Down-Regulation of the IL-13 and JAK-STAT6</w:t>
      </w:r>
      <w:r>
        <w:rPr>
          <w:spacing w:val="1"/>
          <w:sz w:val="18"/>
        </w:rPr>
        <w:t> </w:t>
      </w:r>
      <w:r>
        <w:rPr>
          <w:sz w:val="18"/>
        </w:rPr>
        <w:t>Pathways.</w:t>
      </w:r>
      <w:r>
        <w:rPr>
          <w:spacing w:val="-3"/>
          <w:sz w:val="18"/>
        </w:rPr>
        <w:t> </w:t>
      </w:r>
      <w:r>
        <w:rPr>
          <w:sz w:val="18"/>
        </w:rPr>
        <w:t>Cell</w:t>
      </w:r>
      <w:r>
        <w:rPr>
          <w:spacing w:val="-4"/>
          <w:sz w:val="18"/>
        </w:rPr>
        <w:t> </w:t>
      </w:r>
      <w:r>
        <w:rPr>
          <w:sz w:val="18"/>
        </w:rPr>
        <w:t>Physiol</w:t>
      </w:r>
      <w:r>
        <w:rPr>
          <w:spacing w:val="-4"/>
          <w:sz w:val="18"/>
        </w:rPr>
        <w:t> </w:t>
      </w:r>
      <w:r>
        <w:rPr>
          <w:sz w:val="18"/>
        </w:rPr>
        <w:t>Biochem.</w:t>
      </w:r>
      <w:r>
        <w:rPr>
          <w:spacing w:val="-3"/>
          <w:sz w:val="18"/>
        </w:rPr>
        <w:t> </w:t>
      </w:r>
      <w:r>
        <w:rPr>
          <w:sz w:val="18"/>
        </w:rPr>
        <w:t>2018;46(3):1263-1274.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18" w:lineRule="auto" w:before="91" w:after="0"/>
        <w:ind w:left="477" w:right="113" w:hanging="285"/>
        <w:jc w:val="both"/>
        <w:rPr>
          <w:sz w:val="18"/>
        </w:rPr>
      </w:pPr>
      <w:r>
        <w:rPr>
          <w:b/>
          <w:spacing w:val="-1"/>
          <w:sz w:val="18"/>
        </w:rPr>
        <w:t>Ding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F</w:t>
      </w:r>
      <w:r>
        <w:rPr>
          <w:sz w:val="18"/>
        </w:rPr>
        <w:t>,</w:t>
      </w:r>
      <w:r>
        <w:rPr>
          <w:spacing w:val="-8"/>
          <w:sz w:val="18"/>
        </w:rPr>
        <w:t> </w:t>
      </w:r>
      <w:r>
        <w:rPr>
          <w:sz w:val="18"/>
        </w:rPr>
        <w:t>Fu</w:t>
      </w:r>
      <w:r>
        <w:rPr>
          <w:spacing w:val="-8"/>
          <w:sz w:val="18"/>
        </w:rPr>
        <w:t> </w:t>
      </w:r>
      <w:r>
        <w:rPr>
          <w:sz w:val="18"/>
        </w:rPr>
        <w:t>Z,</w:t>
      </w:r>
      <w:r>
        <w:rPr>
          <w:spacing w:val="-8"/>
          <w:sz w:val="18"/>
        </w:rPr>
        <w:t> </w:t>
      </w:r>
      <w:r>
        <w:rPr>
          <w:sz w:val="18"/>
        </w:rPr>
        <w:t>Liu</w:t>
      </w:r>
      <w:r>
        <w:rPr>
          <w:spacing w:val="-9"/>
          <w:sz w:val="18"/>
        </w:rPr>
        <w:t> </w:t>
      </w:r>
      <w:r>
        <w:rPr>
          <w:sz w:val="18"/>
        </w:rPr>
        <w:t>B.</w:t>
      </w:r>
      <w:r>
        <w:rPr>
          <w:spacing w:val="-9"/>
          <w:sz w:val="18"/>
        </w:rPr>
        <w:t> </w:t>
      </w:r>
      <w:r>
        <w:rPr>
          <w:sz w:val="18"/>
        </w:rPr>
        <w:t>Lipopolysaccharide</w:t>
      </w:r>
      <w:r>
        <w:rPr>
          <w:spacing w:val="-8"/>
          <w:sz w:val="18"/>
        </w:rPr>
        <w:t> </w:t>
      </w:r>
      <w:r>
        <w:rPr>
          <w:sz w:val="18"/>
        </w:rPr>
        <w:t>Exposure</w:t>
      </w:r>
      <w:r>
        <w:rPr>
          <w:spacing w:val="-8"/>
          <w:sz w:val="18"/>
        </w:rPr>
        <w:t> </w:t>
      </w:r>
      <w:r>
        <w:rPr>
          <w:sz w:val="18"/>
        </w:rPr>
        <w:t>Alleviates</w:t>
      </w:r>
      <w:r>
        <w:rPr>
          <w:spacing w:val="-8"/>
          <w:sz w:val="18"/>
        </w:rPr>
        <w:t> </w:t>
      </w:r>
      <w:r>
        <w:rPr>
          <w:sz w:val="18"/>
        </w:rPr>
        <w:t>Asthma</w:t>
      </w:r>
      <w:r>
        <w:rPr>
          <w:spacing w:val="-1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Mice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pacing w:val="-6"/>
          <w:sz w:val="18"/>
        </w:rPr>
        <w:t> </w:t>
      </w:r>
      <w:r>
        <w:rPr>
          <w:sz w:val="18"/>
        </w:rPr>
        <w:t>Regulating</w:t>
      </w:r>
      <w:r>
        <w:rPr>
          <w:spacing w:val="-3"/>
          <w:sz w:val="18"/>
        </w:rPr>
        <w:t> </w:t>
      </w:r>
      <w:r>
        <w:rPr>
          <w:sz w:val="18"/>
        </w:rPr>
        <w:t>Th1/Th2</w:t>
      </w:r>
      <w:r>
        <w:rPr>
          <w:spacing w:val="-10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Treg/Th17</w:t>
      </w:r>
      <w:r>
        <w:rPr>
          <w:spacing w:val="-10"/>
          <w:sz w:val="18"/>
        </w:rPr>
        <w:t> </w:t>
      </w:r>
      <w:r>
        <w:rPr>
          <w:sz w:val="18"/>
        </w:rPr>
        <w:t>Balance.</w:t>
      </w:r>
      <w:r>
        <w:rPr>
          <w:spacing w:val="-3"/>
          <w:sz w:val="18"/>
        </w:rPr>
        <w:t> </w:t>
      </w:r>
      <w:r>
        <w:rPr>
          <w:sz w:val="18"/>
        </w:rPr>
        <w:t>Med</w:t>
      </w:r>
      <w:r>
        <w:rPr>
          <w:spacing w:val="-3"/>
          <w:sz w:val="18"/>
        </w:rPr>
        <w:t> </w:t>
      </w:r>
      <w:r>
        <w:rPr>
          <w:sz w:val="18"/>
        </w:rPr>
        <w:t>Sci</w:t>
      </w:r>
      <w:r>
        <w:rPr>
          <w:spacing w:val="-5"/>
          <w:sz w:val="18"/>
        </w:rPr>
        <w:t> </w:t>
      </w:r>
      <w:r>
        <w:rPr>
          <w:sz w:val="18"/>
        </w:rPr>
        <w:t>Monit.</w:t>
      </w:r>
      <w:r>
        <w:rPr>
          <w:spacing w:val="-39"/>
          <w:sz w:val="18"/>
        </w:rPr>
        <w:t> </w:t>
      </w:r>
      <w:r>
        <w:rPr>
          <w:sz w:val="18"/>
        </w:rPr>
        <w:t>2018</w:t>
      </w:r>
      <w:r>
        <w:rPr>
          <w:spacing w:val="-3"/>
          <w:sz w:val="18"/>
        </w:rPr>
        <w:t> </w:t>
      </w:r>
      <w:r>
        <w:rPr>
          <w:sz w:val="18"/>
        </w:rPr>
        <w:t>May</w:t>
      </w:r>
      <w:r>
        <w:rPr>
          <w:spacing w:val="2"/>
          <w:sz w:val="18"/>
        </w:rPr>
        <w:t> </w:t>
      </w:r>
      <w:r>
        <w:rPr>
          <w:sz w:val="18"/>
        </w:rPr>
        <w:t>16;24:3220-3229.</w:t>
      </w:r>
    </w:p>
    <w:p>
      <w:pPr>
        <w:spacing w:after="0" w:line="218" w:lineRule="auto"/>
        <w:jc w:val="both"/>
        <w:rPr>
          <w:sz w:val="18"/>
        </w:rPr>
        <w:sectPr>
          <w:type w:val="continuous"/>
          <w:pgSz w:w="11910" w:h="16840"/>
          <w:pgMar w:top="1060" w:bottom="280" w:left="520" w:right="480"/>
          <w:cols w:num="2" w:equalWidth="0">
            <w:col w:w="5321" w:space="40"/>
            <w:col w:w="5549"/>
          </w:cols>
        </w:sectPr>
      </w:pPr>
    </w:p>
    <w:p>
      <w:pPr>
        <w:pStyle w:val="BodyText"/>
        <w:spacing w:before="5"/>
        <w:rPr>
          <w:rFonts w:ascii="Calibri"/>
        </w:rPr>
      </w:pPr>
    </w:p>
    <w:p>
      <w:pPr>
        <w:pStyle w:val="BodyText"/>
        <w:spacing w:line="40" w:lineRule="exact"/>
        <w:ind w:left="230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"/>
        <w:rPr>
          <w:rFonts w:ascii="Calibri"/>
          <w:sz w:val="28"/>
        </w:rPr>
      </w:pPr>
    </w:p>
    <w:p>
      <w:pPr>
        <w:pStyle w:val="Heading1"/>
        <w:spacing w:line="240" w:lineRule="auto" w:before="93"/>
        <w:ind w:left="1931"/>
        <w:rPr>
          <w:rFonts w:ascii="Arial MT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933259</wp:posOffset>
            </wp:positionH>
            <wp:positionV relativeFrom="paragraph">
              <wp:posOffset>-620447</wp:posOffset>
            </wp:positionV>
            <wp:extent cx="619760" cy="805561"/>
            <wp:effectExtent l="0" t="0" r="0" b="0"/>
            <wp:wrapNone/>
            <wp:docPr id="3" name="image2.jpeg" descr="图片包含 人, 室内, 厨房, 食物  描述已自动生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805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</w:rPr>
        <w:t>Biography</w:t>
      </w:r>
      <w:r>
        <w:rPr>
          <w:rFonts w:ascii="Arial MT"/>
          <w:color w:val="BE5A13"/>
          <w:spacing w:val="-4"/>
        </w:rPr>
        <w:t> </w:t>
      </w:r>
      <w:r>
        <w:rPr>
          <w:rFonts w:ascii="Arial MT"/>
          <w:color w:val="BE5A13"/>
        </w:rPr>
        <w:t>(150</w:t>
      </w:r>
      <w:r>
        <w:rPr>
          <w:rFonts w:ascii="Arial MT"/>
          <w:color w:val="BE5A13"/>
          <w:spacing w:val="-2"/>
        </w:rPr>
        <w:t> </w:t>
      </w:r>
      <w:r>
        <w:rPr>
          <w:rFonts w:ascii="Arial MT"/>
          <w:color w:val="BE5A13"/>
        </w:rPr>
        <w:t>word</w:t>
      </w:r>
      <w:r>
        <w:rPr>
          <w:rFonts w:ascii="Arial MT"/>
          <w:color w:val="BE5A13"/>
          <w:spacing w:val="-2"/>
        </w:rPr>
        <w:t> </w:t>
      </w:r>
      <w:r>
        <w:rPr>
          <w:rFonts w:ascii="Arial MT"/>
          <w:color w:val="BE5A13"/>
        </w:rPr>
        <w:t>limit)</w:t>
      </w:r>
    </w:p>
    <w:p>
      <w:pPr>
        <w:spacing w:line="230" w:lineRule="auto" w:before="37"/>
        <w:ind w:left="315" w:right="34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Fengxia Ding is a respiratory medicine physician and pediatrician from Children's Hospital of Chongqing Medical University, one of the top three children's hospital 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China.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Now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she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working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as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post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doctor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Great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Ormond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Street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Institute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Child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Health,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University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College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London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(UCL).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She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has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been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working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as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pediatrician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pacing w:val="-1"/>
          <w:sz w:val="14"/>
        </w:rPr>
        <w:t>for 7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years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pacing w:val="-1"/>
          <w:sz w:val="14"/>
        </w:rPr>
        <w:t>in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Children's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pacing w:val="-1"/>
          <w:sz w:val="14"/>
        </w:rPr>
        <w:t>Hospital of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Chongqing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Medical University,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pacing w:val="-1"/>
          <w:sz w:val="14"/>
        </w:rPr>
        <w:t>and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there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are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pacing w:val="-1"/>
          <w:sz w:val="14"/>
        </w:rPr>
        <w:t>more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pacing w:val="-1"/>
          <w:sz w:val="14"/>
        </w:rPr>
        <w:t>than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19,000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pacing w:val="-1"/>
          <w:sz w:val="14"/>
        </w:rPr>
        <w:t>outpatient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pediatric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patie</w:t>
      </w:r>
      <w:r>
        <w:rPr>
          <w:rFonts w:ascii="Arial MT"/>
          <w:spacing w:val="-22"/>
          <w:sz w:val="14"/>
        </w:rPr>
        <w:t> </w:t>
      </w:r>
      <w:r>
        <w:rPr>
          <w:rFonts w:ascii="Arial MT"/>
          <w:sz w:val="14"/>
        </w:rPr>
        <w:t>nts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visit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she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every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year.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She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got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7"/>
          <w:sz w:val="14"/>
        </w:rPr>
        <w:t> </w:t>
      </w:r>
      <w:r>
        <w:rPr>
          <w:rFonts w:ascii="Arial MT"/>
          <w:sz w:val="14"/>
        </w:rPr>
        <w:t>patent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pacing w:val="-1"/>
          <w:sz w:val="14"/>
        </w:rPr>
        <w:t>in respiratory diseases, and she has over 30 publications focusing </w:t>
      </w:r>
      <w:r>
        <w:rPr>
          <w:rFonts w:ascii="Arial MT"/>
          <w:sz w:val="14"/>
        </w:rPr>
        <w:t>on respiratory disease and asthma. She has presented her c linical and research work at many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conferences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got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many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grands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on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her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researchers.</w:t>
      </w:r>
    </w:p>
    <w:p>
      <w:pPr>
        <w:spacing w:after="0" w:line="230" w:lineRule="auto"/>
        <w:jc w:val="both"/>
        <w:rPr>
          <w:rFonts w:ascii="Arial MT"/>
          <w:sz w:val="14"/>
        </w:rPr>
        <w:sectPr>
          <w:type w:val="continuous"/>
          <w:pgSz w:w="11910" w:h="16840"/>
          <w:pgMar w:top="1060" w:bottom="280" w:left="520" w:right="480"/>
        </w:sectPr>
      </w:pPr>
    </w:p>
    <w:p>
      <w:pPr>
        <w:spacing w:before="74"/>
        <w:ind w:left="4321" w:right="4356" w:firstLine="0"/>
        <w:jc w:val="center"/>
        <w:rPr>
          <w:rFonts w:ascii="Arial MT"/>
          <w:sz w:val="14"/>
        </w:rPr>
      </w:pPr>
      <w:hyperlink r:id="rId7">
        <w:r>
          <w:rPr>
            <w:rFonts w:ascii="Arial MT"/>
            <w:spacing w:val="-1"/>
            <w:sz w:val="14"/>
          </w:rPr>
          <w:t>Email:</w:t>
        </w:r>
        <w:r>
          <w:rPr>
            <w:rFonts w:ascii="Arial MT"/>
            <w:color w:val="0000FF"/>
            <w:spacing w:val="-1"/>
            <w:sz w:val="14"/>
            <w:u w:val="single" w:color="0000FF"/>
          </w:rPr>
          <w:t>dingfengxia@hospital.cqmu.e</w:t>
        </w:r>
      </w:hyperlink>
      <w:r>
        <w:rPr>
          <w:rFonts w:ascii="Arial MT"/>
          <w:color w:val="0000FF"/>
          <w:sz w:val="14"/>
        </w:rPr>
        <w:t> </w:t>
      </w:r>
      <w:r>
        <w:rPr>
          <w:rFonts w:ascii="Arial MT"/>
          <w:color w:val="0000FF"/>
          <w:sz w:val="14"/>
          <w:u w:val="single" w:color="0000FF"/>
        </w:rPr>
        <w:t>du.cn</w:t>
      </w:r>
    </w:p>
    <w:p>
      <w:pPr>
        <w:pStyle w:val="BodyText"/>
        <w:spacing w:before="3"/>
        <w:rPr>
          <w:rFonts w:ascii="Arial MT"/>
          <w:sz w:val="19"/>
        </w:rPr>
      </w:pPr>
      <w:r>
        <w:rPr/>
        <w:pict>
          <v:shape style="position:absolute;margin-left:162.100006pt;margin-top:13.301367pt;width:271.05pt;height:.1pt;mso-position-horizontal-relative:page;mso-position-vertical-relative:paragraph;z-index:-15727616;mso-wrap-distance-left:0;mso-wrap-distance-right:0" coordorigin="3242,266" coordsize="5421,0" path="m3242,266l8663,266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3"/>
        </w:rPr>
      </w:pPr>
    </w:p>
    <w:p>
      <w:pPr>
        <w:pStyle w:val="Heading2"/>
        <w:spacing w:before="100"/>
        <w:rPr>
          <w:rFonts w:ascii="Cambria"/>
        </w:rPr>
      </w:pPr>
      <w:r>
        <w:rPr>
          <w:rFonts w:ascii="Cambria"/>
        </w:rPr>
        <w:t>Notes/Comments:</w:t>
      </w:r>
    </w:p>
    <w:p>
      <w:pPr>
        <w:spacing w:after="0"/>
        <w:rPr>
          <w:rFonts w:ascii="Cambria"/>
        </w:rPr>
        <w:sectPr>
          <w:pgSz w:w="11910" w:h="16840"/>
          <w:pgMar w:top="920" w:bottom="280" w:left="520" w:right="480"/>
        </w:sectPr>
      </w:pPr>
    </w:p>
    <w:p>
      <w:pPr>
        <w:spacing w:line="248" w:lineRule="exact" w:before="64"/>
        <w:ind w:left="10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3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5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pStyle w:val="Heading1"/>
      </w:pPr>
      <w:r>
        <w:rPr>
          <w:spacing w:val="-1"/>
          <w:w w:val="90"/>
        </w:rPr>
        <w:t>Full</w:t>
      </w:r>
      <w:r>
        <w:rPr>
          <w:spacing w:val="-8"/>
          <w:w w:val="90"/>
        </w:rPr>
        <w:t> </w:t>
      </w:r>
      <w:r>
        <w:rPr>
          <w:spacing w:val="-1"/>
          <w:w w:val="90"/>
        </w:rPr>
        <w:t>name: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Fengxia</w:t>
      </w:r>
      <w:r>
        <w:rPr>
          <w:spacing w:val="-5"/>
          <w:w w:val="90"/>
        </w:rPr>
        <w:t> </w:t>
      </w:r>
      <w:r>
        <w:rPr>
          <w:w w:val="90"/>
        </w:rPr>
        <w:t>Ding</w:t>
      </w:r>
    </w:p>
    <w:p>
      <w:pPr>
        <w:spacing w:line="240" w:lineRule="exact" w:before="0"/>
        <w:ind w:left="100" w:right="0" w:firstLine="0"/>
        <w:jc w:val="left"/>
        <w:rPr>
          <w:sz w:val="22"/>
        </w:rPr>
      </w:pPr>
      <w:r>
        <w:rPr>
          <w:w w:val="95"/>
          <w:sz w:val="22"/>
        </w:rPr>
        <w:t>Contact</w:t>
      </w:r>
      <w:r>
        <w:rPr>
          <w:spacing w:val="-10"/>
          <w:w w:val="95"/>
          <w:sz w:val="22"/>
        </w:rPr>
        <w:t> </w:t>
      </w:r>
      <w:r>
        <w:rPr>
          <w:w w:val="95"/>
          <w:sz w:val="22"/>
        </w:rPr>
        <w:t>number: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+44</w:t>
      </w:r>
      <w:r>
        <w:rPr>
          <w:spacing w:val="-11"/>
          <w:w w:val="95"/>
          <w:sz w:val="22"/>
        </w:rPr>
        <w:t> </w:t>
      </w:r>
      <w:r>
        <w:rPr>
          <w:w w:val="95"/>
          <w:sz w:val="22"/>
        </w:rPr>
        <w:t>7900065702</w:t>
      </w:r>
    </w:p>
    <w:p>
      <w:pPr>
        <w:pStyle w:val="Heading1"/>
        <w:spacing w:line="230" w:lineRule="auto" w:before="4"/>
        <w:ind w:right="5277"/>
      </w:pPr>
      <w:r>
        <w:rPr>
          <w:w w:val="90"/>
        </w:rPr>
        <w:t>Mail</w:t>
      </w:r>
      <w:r>
        <w:rPr>
          <w:spacing w:val="5"/>
          <w:w w:val="90"/>
        </w:rPr>
        <w:t> </w:t>
      </w:r>
      <w:r>
        <w:rPr>
          <w:w w:val="90"/>
        </w:rPr>
        <w:t>id:</w:t>
      </w:r>
      <w:r>
        <w:rPr>
          <w:spacing w:val="7"/>
          <w:w w:val="90"/>
        </w:rPr>
        <w:t> </w:t>
      </w:r>
      <w:hyperlink r:id="rId8">
        <w:r>
          <w:rPr>
            <w:w w:val="90"/>
          </w:rPr>
          <w:t>dingfengxia@hospital.cqmu.edu.cn</w:t>
        </w:r>
      </w:hyperlink>
      <w:r>
        <w:rPr>
          <w:spacing w:val="-50"/>
          <w:w w:val="90"/>
        </w:rPr>
        <w:t> </w:t>
      </w:r>
      <w:r>
        <w:rPr/>
        <w:t>Category:</w:t>
      </w:r>
      <w:r>
        <w:rPr>
          <w:spacing w:val="-9"/>
        </w:rPr>
        <w:t> </w:t>
      </w:r>
      <w:r>
        <w:rPr/>
        <w:t>(Oral</w:t>
      </w:r>
      <w:r>
        <w:rPr>
          <w:spacing w:val="-8"/>
        </w:rPr>
        <w:t> </w:t>
      </w:r>
      <w:r>
        <w:rPr/>
        <w:t>presentation)</w:t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Microsoft YaHei">
    <w:altName w:val="Microsoft YaHe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7" w:hanging="285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6" w:hanging="2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3" w:hanging="2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0" w:hanging="2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7" w:hanging="2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4" w:hanging="2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1" w:hanging="2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8" w:hanging="2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5" w:hanging="28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40" w:lineRule="exact"/>
      <w:ind w:left="100"/>
      <w:outlineLvl w:val="1"/>
    </w:pPr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00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0"/>
      <w:ind w:left="100"/>
    </w:pPr>
    <w:rPr>
      <w:rFonts w:ascii="Cambria" w:hAnsi="Cambria" w:eastAsia="Cambria" w:cs="Cambr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477" w:right="118" w:hanging="285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dingfengxia@hospital.cqmu.e" TargetMode="External"/><Relationship Id="rId8" Type="http://schemas.openxmlformats.org/officeDocument/2006/relationships/hyperlink" Target="mailto:dingfengxia@hospital.cqmu.edu.cn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2023-05-15T07:16:57Z</dcterms:created>
  <dcterms:modified xsi:type="dcterms:W3CDTF">2023-05-15T07:16:57Z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2023-05-15T00:00:00Z</vt:filetime>
  </property>
</Properties>
</file>