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8"/>
        <w:ind w:left="3217" w:right="214" w:hanging="2279"/>
        <w:jc w:val="left"/>
      </w:pPr>
      <w:r>
        <w:rPr/>
        <w:t>Immune Oncology Therapy for Breast Cancer: CCR5 Inhibitors Enhance Breast Cancer Cell Killing and Reduce Doxorubicin-Induced Cardiotoxicity</w:t>
      </w:r>
    </w:p>
    <w:p>
      <w:pPr>
        <w:pStyle w:val="BodyText"/>
        <w:spacing w:before="2"/>
        <w:ind w:left="0"/>
        <w:jc w:val="left"/>
      </w:pPr>
    </w:p>
    <w:p>
      <w:pPr>
        <w:pStyle w:val="BodyText"/>
        <w:spacing w:line="253" w:lineRule="exact" w:before="1"/>
        <w:rPr>
          <w:rFonts w:ascii="Georgia"/>
          <w:sz w:val="14"/>
        </w:rPr>
      </w:pPr>
      <w:r>
        <w:rPr/>
        <w:pict>
          <v:rect style="position:absolute;margin-left:50.400002pt;margin-top:11.519522pt;width:61.704pt;height:.48pt;mso-position-horizontal-relative:page;mso-position-vertical-relative:paragraph;z-index:15728640" filled="true" fillcolor="#000000" stroked="false">
            <v:fill type="solid"/>
            <w10:wrap type="none"/>
          </v:rect>
        </w:pict>
      </w:r>
      <w:r>
        <w:rPr>
          <w:w w:val="100"/>
        </w:rPr>
        <w:t>R</w:t>
      </w:r>
      <w:r>
        <w:rPr>
          <w:spacing w:val="-1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.</w:t>
      </w:r>
      <w:r>
        <w:rPr/>
        <w:t> </w:t>
      </w:r>
      <w:r>
        <w:rPr>
          <w:w w:val="100"/>
        </w:rPr>
        <w:t>Pes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"/>
          <w:w w:val="100"/>
        </w:rPr>
        <w:t>l</w:t>
      </w:r>
      <w:r>
        <w:rPr>
          <w:spacing w:val="-3"/>
          <w:w w:val="102"/>
          <w:vertAlign w:val="superscript"/>
        </w:rPr>
        <w:t>1</w:t>
      </w:r>
      <w:r>
        <w:rPr>
          <w:spacing w:val="1"/>
          <w:w w:val="102"/>
          <w:vertAlign w:val="superscript"/>
        </w:rPr>
        <w:t>,</w:t>
      </w:r>
      <w:r>
        <w:rPr>
          <w:w w:val="102"/>
          <w:vertAlign w:val="superscript"/>
        </w:rPr>
        <w:t>2</w:t>
      </w:r>
      <w:r>
        <w:rPr>
          <w:spacing w:val="-3"/>
          <w:vertAlign w:val="baseline"/>
        </w:rPr>
        <w:t> </w:t>
      </w:r>
      <w:r>
        <w:rPr>
          <w:rFonts w:ascii="Georgia"/>
          <w:spacing w:val="-1"/>
          <w:w w:val="100"/>
          <w:vertAlign w:val="baseline"/>
        </w:rPr>
        <w:t>Xua</w:t>
      </w:r>
      <w:r>
        <w:rPr>
          <w:rFonts w:ascii="Georgia"/>
          <w:spacing w:val="-2"/>
          <w:w w:val="100"/>
          <w:vertAlign w:val="baseline"/>
        </w:rPr>
        <w:t>n</w:t>
      </w:r>
      <w:r>
        <w:rPr>
          <w:rFonts w:ascii="Georgia"/>
          <w:w w:val="100"/>
          <w:vertAlign w:val="baseline"/>
        </w:rPr>
        <w:t>m</w:t>
      </w:r>
      <w:r>
        <w:rPr>
          <w:rFonts w:ascii="Georgia"/>
          <w:spacing w:val="-2"/>
          <w:w w:val="100"/>
          <w:vertAlign w:val="baseline"/>
        </w:rPr>
        <w:t>a</w:t>
      </w:r>
      <w:r>
        <w:rPr>
          <w:rFonts w:ascii="Georgia"/>
          <w:w w:val="100"/>
          <w:vertAlign w:val="baseline"/>
        </w:rPr>
        <w:t>o</w:t>
      </w:r>
      <w:r>
        <w:rPr>
          <w:rFonts w:ascii="Georgia"/>
          <w:vertAlign w:val="baseline"/>
        </w:rPr>
        <w:t> </w:t>
      </w:r>
      <w:r>
        <w:rPr>
          <w:rFonts w:ascii="Georgia"/>
          <w:spacing w:val="-2"/>
          <w:w w:val="100"/>
          <w:vertAlign w:val="baseline"/>
        </w:rPr>
        <w:t>J</w:t>
      </w:r>
      <w:r>
        <w:rPr>
          <w:rFonts w:ascii="Georgia"/>
          <w:w w:val="100"/>
          <w:vertAlign w:val="baseline"/>
        </w:rPr>
        <w:t>i</w:t>
      </w:r>
      <w:r>
        <w:rPr>
          <w:rFonts w:ascii="Georgia"/>
          <w:spacing w:val="-1"/>
          <w:w w:val="100"/>
          <w:vertAlign w:val="baseline"/>
        </w:rPr>
        <w:t>a</w:t>
      </w:r>
      <w:r>
        <w:rPr>
          <w:rFonts w:ascii="Georgia"/>
          <w:spacing w:val="1"/>
          <w:w w:val="100"/>
          <w:vertAlign w:val="baseline"/>
        </w:rPr>
        <w:t>o</w:t>
      </w:r>
      <w:r>
        <w:rPr>
          <w:rFonts w:ascii="Georgia"/>
          <w:smallCaps/>
          <w:w w:val="99"/>
          <w:position w:val="6"/>
          <w:sz w:val="14"/>
          <w:vertAlign w:val="baseline"/>
        </w:rPr>
        <w:t>1</w:t>
      </w:r>
      <w:r>
        <w:rPr>
          <w:rFonts w:ascii="Georgia"/>
          <w:smallCaps w:val="0"/>
          <w:w w:val="100"/>
          <w:vertAlign w:val="baseline"/>
        </w:rPr>
        <w:t>,</w:t>
      </w:r>
      <w:r>
        <w:rPr>
          <w:rFonts w:ascii="Georgia"/>
          <w:smallCaps w:val="0"/>
          <w:vertAlign w:val="baseline"/>
        </w:rPr>
        <w:t> </w:t>
      </w:r>
      <w:r>
        <w:rPr>
          <w:rFonts w:ascii="Georgia"/>
          <w:smallCaps w:val="0"/>
          <w:w w:val="100"/>
          <w:vertAlign w:val="baseline"/>
        </w:rPr>
        <w:t>Hsin</w:t>
      </w:r>
      <w:r>
        <w:rPr>
          <w:rFonts w:ascii="Georgia"/>
          <w:smallCaps w:val="0"/>
          <w:spacing w:val="-4"/>
          <w:vertAlign w:val="baseline"/>
        </w:rPr>
        <w:t> </w:t>
      </w:r>
      <w:r>
        <w:rPr>
          <w:rFonts w:ascii="Georgia"/>
          <w:smallCaps w:val="0"/>
          <w:w w:val="100"/>
          <w:vertAlign w:val="baseline"/>
        </w:rPr>
        <w:t>Y</w:t>
      </w:r>
      <w:r>
        <w:rPr>
          <w:rFonts w:ascii="Georgia"/>
          <w:smallCaps w:val="0"/>
          <w:spacing w:val="-1"/>
          <w:w w:val="100"/>
          <w:vertAlign w:val="baseline"/>
        </w:rPr>
        <w:t>a</w:t>
      </w:r>
      <w:r>
        <w:rPr>
          <w:rFonts w:ascii="Georgia"/>
          <w:smallCaps w:val="0"/>
          <w:w w:val="100"/>
          <w:vertAlign w:val="baseline"/>
        </w:rPr>
        <w:t>o</w:t>
      </w:r>
      <w:r>
        <w:rPr>
          <w:rFonts w:ascii="Georgia"/>
          <w:smallCaps w:val="0"/>
          <w:vertAlign w:val="baseline"/>
        </w:rPr>
        <w:t> </w:t>
      </w:r>
      <w:r>
        <w:rPr>
          <w:rFonts w:ascii="Georgia"/>
          <w:smallCaps w:val="0"/>
          <w:w w:val="100"/>
          <w:vertAlign w:val="baseline"/>
        </w:rPr>
        <w:t>T</w:t>
      </w:r>
      <w:r>
        <w:rPr>
          <w:rFonts w:ascii="Georgia"/>
          <w:smallCaps w:val="0"/>
          <w:spacing w:val="-2"/>
          <w:w w:val="100"/>
          <w:vertAlign w:val="baseline"/>
        </w:rPr>
        <w:t>a</w:t>
      </w:r>
      <w:r>
        <w:rPr>
          <w:rFonts w:ascii="Georgia"/>
          <w:smallCaps w:val="0"/>
          <w:spacing w:val="-1"/>
          <w:w w:val="100"/>
          <w:vertAlign w:val="baseline"/>
        </w:rPr>
        <w:t>n</w:t>
      </w:r>
      <w:r>
        <w:rPr>
          <w:rFonts w:ascii="Georgia"/>
          <w:smallCaps w:val="0"/>
          <w:spacing w:val="1"/>
          <w:w w:val="100"/>
          <w:vertAlign w:val="baseline"/>
        </w:rPr>
        <w:t>g</w:t>
      </w:r>
      <w:r>
        <w:rPr>
          <w:rFonts w:ascii="Georgia"/>
          <w:smallCaps/>
          <w:spacing w:val="-1"/>
          <w:w w:val="99"/>
          <w:position w:val="6"/>
          <w:sz w:val="14"/>
          <w:vertAlign w:val="baseline"/>
        </w:rPr>
        <w:t>2</w:t>
      </w:r>
      <w:r>
        <w:rPr>
          <w:rFonts w:ascii="Georgia"/>
          <w:smallCaps w:val="0"/>
          <w:w w:val="100"/>
          <w:vertAlign w:val="baseline"/>
        </w:rPr>
        <w:t>,</w:t>
      </w:r>
      <w:r>
        <w:rPr>
          <w:rFonts w:ascii="Georgia"/>
          <w:smallCaps w:val="0"/>
          <w:vertAlign w:val="baseline"/>
        </w:rPr>
        <w:t> </w:t>
      </w:r>
      <w:r>
        <w:rPr>
          <w:rFonts w:ascii="Georgia"/>
          <w:smallCaps w:val="0"/>
          <w:spacing w:val="-2"/>
          <w:w w:val="100"/>
          <w:vertAlign w:val="baseline"/>
        </w:rPr>
        <w:t>S</w:t>
      </w:r>
      <w:r>
        <w:rPr>
          <w:rFonts w:ascii="Georgia"/>
          <w:smallCaps w:val="0"/>
          <w:spacing w:val="1"/>
          <w:w w:val="100"/>
          <w:vertAlign w:val="baseline"/>
        </w:rPr>
        <w:t>e</w:t>
      </w:r>
      <w:r>
        <w:rPr>
          <w:rFonts w:ascii="Georgia"/>
          <w:smallCaps w:val="0"/>
          <w:spacing w:val="-4"/>
          <w:w w:val="100"/>
          <w:vertAlign w:val="baseline"/>
        </w:rPr>
        <w:t>a</w:t>
      </w:r>
      <w:r>
        <w:rPr>
          <w:rFonts w:ascii="Georgia"/>
          <w:smallCaps w:val="0"/>
          <w:w w:val="100"/>
          <w:vertAlign w:val="baseline"/>
        </w:rPr>
        <w:t>n</w:t>
      </w:r>
      <w:r>
        <w:rPr>
          <w:rFonts w:ascii="Georgia"/>
          <w:smallCaps w:val="0"/>
          <w:spacing w:val="-1"/>
          <w:vertAlign w:val="baseline"/>
        </w:rPr>
        <w:t> </w:t>
      </w:r>
      <w:r>
        <w:rPr>
          <w:rFonts w:ascii="Georgia"/>
          <w:smallCaps w:val="0"/>
          <w:w w:val="100"/>
          <w:vertAlign w:val="baseline"/>
        </w:rPr>
        <w:t>La</w:t>
      </w:r>
      <w:r>
        <w:rPr>
          <w:rFonts w:ascii="Georgia"/>
          <w:smallCaps w:val="0"/>
          <w:spacing w:val="-1"/>
          <w:w w:val="100"/>
          <w:vertAlign w:val="baseline"/>
        </w:rPr>
        <w:t>l</w:t>
      </w:r>
      <w:r>
        <w:rPr>
          <w:rFonts w:ascii="Georgia"/>
          <w:smallCaps w:val="0"/>
          <w:spacing w:val="1"/>
          <w:w w:val="99"/>
          <w:position w:val="6"/>
          <w:sz w:val="14"/>
          <w:vertAlign w:val="baseline"/>
        </w:rPr>
        <w:t>5</w:t>
      </w:r>
      <w:r>
        <w:rPr>
          <w:rFonts w:ascii="Georgia"/>
          <w:smallCaps w:val="0"/>
          <w:w w:val="100"/>
          <w:vertAlign w:val="baseline"/>
        </w:rPr>
        <w:t>,</w:t>
      </w:r>
      <w:r>
        <w:rPr>
          <w:rFonts w:ascii="Georgia"/>
          <w:smallCaps w:val="0"/>
          <w:vertAlign w:val="baseline"/>
        </w:rPr>
        <w:t> </w:t>
      </w:r>
      <w:r>
        <w:rPr>
          <w:rFonts w:ascii="Georgia"/>
          <w:smallCaps w:val="0"/>
          <w:w w:val="100"/>
          <w:vertAlign w:val="baseline"/>
        </w:rPr>
        <w:t>An</w:t>
      </w:r>
      <w:r>
        <w:rPr>
          <w:rFonts w:ascii="Georgia"/>
          <w:smallCaps w:val="0"/>
          <w:spacing w:val="-2"/>
          <w:w w:val="100"/>
          <w:vertAlign w:val="baseline"/>
        </w:rPr>
        <w:t>t</w:t>
      </w:r>
      <w:r>
        <w:rPr>
          <w:rFonts w:ascii="Georgia"/>
          <w:smallCaps w:val="0"/>
          <w:w w:val="100"/>
          <w:vertAlign w:val="baseline"/>
        </w:rPr>
        <w:t>ho</w:t>
      </w:r>
      <w:r>
        <w:rPr>
          <w:rFonts w:ascii="Georgia"/>
          <w:smallCaps w:val="0"/>
          <w:spacing w:val="-1"/>
          <w:w w:val="100"/>
          <w:vertAlign w:val="baseline"/>
        </w:rPr>
        <w:t>n</w:t>
      </w:r>
      <w:r>
        <w:rPr>
          <w:rFonts w:ascii="Georgia"/>
          <w:smallCaps w:val="0"/>
          <w:w w:val="100"/>
          <w:vertAlign w:val="baseline"/>
        </w:rPr>
        <w:t>y</w:t>
      </w:r>
      <w:r>
        <w:rPr>
          <w:rFonts w:ascii="Georgia"/>
          <w:smallCaps w:val="0"/>
          <w:spacing w:val="-2"/>
          <w:vertAlign w:val="baseline"/>
        </w:rPr>
        <w:t> </w:t>
      </w:r>
      <w:r>
        <w:rPr>
          <w:rFonts w:ascii="Georgia"/>
          <w:smallCaps w:val="0"/>
          <w:spacing w:val="-2"/>
          <w:w w:val="100"/>
          <w:vertAlign w:val="baseline"/>
        </w:rPr>
        <w:t>W</w:t>
      </w:r>
      <w:r>
        <w:rPr>
          <w:rFonts w:ascii="Georgia"/>
          <w:smallCaps w:val="0"/>
          <w:w w:val="100"/>
          <w:vertAlign w:val="baseline"/>
        </w:rPr>
        <w:t>.</w:t>
      </w:r>
      <w:r>
        <w:rPr>
          <w:rFonts w:ascii="Georgia"/>
          <w:smallCaps w:val="0"/>
          <w:vertAlign w:val="baseline"/>
        </w:rPr>
        <w:t> </w:t>
      </w:r>
      <w:r>
        <w:rPr>
          <w:rFonts w:ascii="Georgia"/>
          <w:smallCaps w:val="0"/>
          <w:w w:val="100"/>
          <w:vertAlign w:val="baseline"/>
        </w:rPr>
        <w:t>A</w:t>
      </w:r>
      <w:r>
        <w:rPr>
          <w:rFonts w:ascii="Georgia"/>
          <w:smallCaps w:val="0"/>
          <w:spacing w:val="-2"/>
          <w:w w:val="100"/>
          <w:vertAlign w:val="baseline"/>
        </w:rPr>
        <w:t>s</w:t>
      </w:r>
      <w:r>
        <w:rPr>
          <w:rFonts w:ascii="Georgia"/>
          <w:smallCaps w:val="0"/>
          <w:w w:val="100"/>
          <w:vertAlign w:val="baseline"/>
        </w:rPr>
        <w:t>h</w:t>
      </w:r>
      <w:r>
        <w:rPr>
          <w:rFonts w:ascii="Georgia"/>
          <w:smallCaps w:val="0"/>
          <w:spacing w:val="-2"/>
          <w:w w:val="100"/>
          <w:vertAlign w:val="baseline"/>
        </w:rPr>
        <w:t>t</w:t>
      </w:r>
      <w:r>
        <w:rPr>
          <w:rFonts w:ascii="Georgia"/>
          <w:smallCaps w:val="0"/>
          <w:w w:val="100"/>
          <w:vertAlign w:val="baseline"/>
        </w:rPr>
        <w:t>o</w:t>
      </w:r>
      <w:r>
        <w:rPr>
          <w:rFonts w:ascii="Georgia"/>
          <w:smallCaps w:val="0"/>
          <w:spacing w:val="-1"/>
          <w:w w:val="100"/>
          <w:vertAlign w:val="baseline"/>
        </w:rPr>
        <w:t>n</w:t>
      </w:r>
      <w:r>
        <w:rPr>
          <w:rFonts w:ascii="Georgia"/>
          <w:smallCaps/>
          <w:w w:val="99"/>
          <w:position w:val="6"/>
          <w:sz w:val="14"/>
          <w:vertAlign w:val="baseline"/>
        </w:rPr>
        <w:t>1,</w:t>
      </w:r>
      <w:r>
        <w:rPr>
          <w:rFonts w:ascii="Georgia"/>
          <w:smallCaps w:val="0"/>
          <w:w w:val="99"/>
          <w:position w:val="6"/>
          <w:sz w:val="14"/>
          <w:vertAlign w:val="baseline"/>
        </w:rPr>
        <w:t>3,4</w:t>
      </w:r>
    </w:p>
    <w:p>
      <w:pPr>
        <w:pStyle w:val="BodyText"/>
        <w:ind w:right="113"/>
      </w:pPr>
      <w:r>
        <w:rPr>
          <w:b/>
          <w:vertAlign w:val="superscript"/>
        </w:rPr>
        <w:t>1</w:t>
      </w:r>
      <w:r>
        <w:rPr>
          <w:vertAlign w:val="baseline"/>
        </w:rPr>
        <w:t>Pennsylvania Cancer and Regenerative Medicine Research Center, Baruch S. Blumberg Institute, Pennsylvania Biotechnology Center, Doylestown, Pennsylvania, 18902, USA. </w:t>
      </w:r>
      <w:r>
        <w:rPr>
          <w:b/>
          <w:vertAlign w:val="superscript"/>
        </w:rPr>
        <w:t>2</w:t>
      </w:r>
      <w:r>
        <w:rPr>
          <w:vertAlign w:val="baseline"/>
        </w:rPr>
        <w:t>Wistar Institute, Philadelphia, PA, 19107, USA. </w:t>
      </w:r>
      <w:r>
        <w:rPr>
          <w:vertAlign w:val="superscript"/>
        </w:rPr>
        <w:t>3</w:t>
      </w:r>
      <w:r>
        <w:rPr>
          <w:vertAlign w:val="baseline"/>
        </w:rPr>
        <w:t>Division of Cardiovascular Medicine, Lankenau Institute for Medical Research, Wynnewood, PA, 19096, USA; </w:t>
      </w:r>
      <w:r>
        <w:rPr>
          <w:vertAlign w:val="superscript"/>
        </w:rPr>
        <w:t>4</w:t>
      </w:r>
      <w:r>
        <w:rPr>
          <w:vertAlign w:val="baseline"/>
        </w:rPr>
        <w:t>Kolling Institute for Medical Research, St. Leonards, NSW, Australia; </w:t>
      </w:r>
      <w:r>
        <w:rPr>
          <w:color w:val="202020"/>
          <w:vertAlign w:val="superscript"/>
        </w:rPr>
        <w:t>5</w:t>
      </w:r>
      <w:r>
        <w:rPr>
          <w:color w:val="202020"/>
          <w:vertAlign w:val="baseline"/>
        </w:rPr>
        <w:t>Sydney Heart Bank, </w:t>
      </w:r>
      <w:r>
        <w:rPr>
          <w:vertAlign w:val="baseline"/>
        </w:rPr>
        <w:t>Precision Cardiovascular Laboratory, </w:t>
      </w:r>
      <w:r>
        <w:rPr>
          <w:color w:val="202020"/>
          <w:vertAlign w:val="baseline"/>
        </w:rPr>
        <w:t>Sydney Medical School, </w:t>
      </w:r>
      <w:r>
        <w:rPr>
          <w:vertAlign w:val="baseline"/>
        </w:rPr>
        <w:t>The University of Sydney, Sydney, NSW, Australia</w:t>
      </w:r>
      <w:r>
        <w:rPr>
          <w:color w:val="202020"/>
          <w:vertAlign w:val="baseline"/>
        </w:rPr>
        <w:t>; </w:t>
      </w:r>
      <w:hyperlink r:id="rId5">
        <w:r>
          <w:rPr>
            <w:color w:val="0000FF"/>
            <w:u w:val="single" w:color="0000FF"/>
            <w:vertAlign w:val="baseline"/>
          </w:rPr>
          <w:t>richard.pestell@bblumberg.org</w:t>
        </w:r>
      </w:hyperlink>
    </w:p>
    <w:p>
      <w:pPr>
        <w:pStyle w:val="BodyText"/>
        <w:ind w:left="0"/>
        <w:jc w:val="left"/>
        <w:rPr>
          <w:sz w:val="14"/>
        </w:rPr>
      </w:pPr>
    </w:p>
    <w:p>
      <w:pPr>
        <w:pStyle w:val="BodyText"/>
        <w:spacing w:before="91"/>
        <w:ind w:right="115"/>
      </w:pPr>
      <w:r>
        <w:rPr>
          <w:b/>
        </w:rPr>
        <w:t>Abstract. </w:t>
      </w:r>
      <w:r>
        <w:rPr/>
        <w:t>We previously showed that the G-protein coupled receptor CCR5 is expressed on both immune and epithelial</w:t>
      </w:r>
      <w:r>
        <w:rPr>
          <w:spacing w:val="-6"/>
        </w:rPr>
        <w:t> </w:t>
      </w:r>
      <w:r>
        <w:rPr/>
        <w:t>cells</w:t>
      </w:r>
      <w:r>
        <w:rPr>
          <w:spacing w:val="-8"/>
        </w:rPr>
        <w:t> </w:t>
      </w:r>
      <w:r>
        <w:rPr/>
        <w:t>of</w:t>
      </w:r>
      <w:r>
        <w:rPr>
          <w:spacing w:val="-8"/>
        </w:rPr>
        <w:t> </w:t>
      </w:r>
      <w:r>
        <w:rPr/>
        <w:t>~50%</w:t>
      </w:r>
      <w:r>
        <w:rPr>
          <w:spacing w:val="-6"/>
        </w:rPr>
        <w:t> </w:t>
      </w:r>
      <w:r>
        <w:rPr/>
        <w:t>of</w:t>
      </w:r>
      <w:r>
        <w:rPr>
          <w:spacing w:val="-8"/>
        </w:rPr>
        <w:t> </w:t>
      </w:r>
      <w:r>
        <w:rPr/>
        <w:t>human</w:t>
      </w:r>
      <w:r>
        <w:rPr>
          <w:spacing w:val="-8"/>
        </w:rPr>
        <w:t> </w:t>
      </w:r>
      <w:r>
        <w:rPr/>
        <w:t>breast</w:t>
      </w:r>
      <w:r>
        <w:rPr>
          <w:spacing w:val="-6"/>
        </w:rPr>
        <w:t> </w:t>
      </w:r>
      <w:r>
        <w:rPr/>
        <w:t>cancers</w:t>
      </w:r>
      <w:r>
        <w:rPr>
          <w:spacing w:val="-8"/>
        </w:rPr>
        <w:t> </w:t>
      </w:r>
      <w:r>
        <w:rPr/>
        <w:t>(BCa),</w:t>
      </w:r>
      <w:r>
        <w:rPr>
          <w:spacing w:val="-6"/>
        </w:rPr>
        <w:t> </w:t>
      </w:r>
      <w:r>
        <w:rPr/>
        <w:t>thereby</w:t>
      </w:r>
      <w:r>
        <w:rPr>
          <w:spacing w:val="-9"/>
        </w:rPr>
        <w:t> </w:t>
      </w:r>
      <w:r>
        <w:rPr/>
        <w:t>inducing</w:t>
      </w:r>
      <w:r>
        <w:rPr>
          <w:spacing w:val="-9"/>
        </w:rPr>
        <w:t> </w:t>
      </w:r>
      <w:r>
        <w:rPr/>
        <w:t>cancer</w:t>
      </w:r>
      <w:r>
        <w:rPr>
          <w:spacing w:val="-8"/>
        </w:rPr>
        <w:t> </w:t>
      </w:r>
      <w:r>
        <w:rPr/>
        <w:t>“stemness”,</w:t>
      </w:r>
      <w:r>
        <w:rPr>
          <w:spacing w:val="-8"/>
        </w:rPr>
        <w:t> </w:t>
      </w:r>
      <w:r>
        <w:rPr/>
        <w:t>cell</w:t>
      </w:r>
      <w:r>
        <w:rPr>
          <w:spacing w:val="-8"/>
        </w:rPr>
        <w:t> </w:t>
      </w:r>
      <w:r>
        <w:rPr/>
        <w:t>survival</w:t>
      </w:r>
      <w:r>
        <w:rPr>
          <w:spacing w:val="-7"/>
        </w:rPr>
        <w:t> </w:t>
      </w:r>
      <w:r>
        <w:rPr/>
        <w:t>and</w:t>
      </w:r>
      <w:r>
        <w:rPr>
          <w:spacing w:val="-8"/>
        </w:rPr>
        <w:t> </w:t>
      </w:r>
      <w:r>
        <w:rPr/>
        <w:t>DNA repair</w:t>
      </w:r>
      <w:r>
        <w:rPr>
          <w:spacing w:val="-11"/>
        </w:rPr>
        <w:t> </w:t>
      </w:r>
      <w:r>
        <w:rPr/>
        <w:t>and</w:t>
      </w:r>
      <w:r>
        <w:rPr>
          <w:spacing w:val="-12"/>
        </w:rPr>
        <w:t> </w:t>
      </w:r>
      <w:r>
        <w:rPr/>
        <w:t>a</w:t>
      </w:r>
      <w:r>
        <w:rPr>
          <w:spacing w:val="-11"/>
        </w:rPr>
        <w:t> </w:t>
      </w:r>
      <w:r>
        <w:rPr/>
        <w:t>pro-metastatic</w:t>
      </w:r>
      <w:r>
        <w:rPr>
          <w:spacing w:val="-11"/>
        </w:rPr>
        <w:t> </w:t>
      </w:r>
      <w:r>
        <w:rPr/>
        <w:t>phenotype.</w:t>
      </w:r>
      <w:r>
        <w:rPr>
          <w:spacing w:val="-12"/>
        </w:rPr>
        <w:t> </w:t>
      </w:r>
      <w:r>
        <w:rPr/>
        <w:t>CCR5</w:t>
      </w:r>
      <w:r>
        <w:rPr>
          <w:spacing w:val="-11"/>
        </w:rPr>
        <w:t> </w:t>
      </w:r>
      <w:r>
        <w:rPr/>
        <w:t>inhibition</w:t>
      </w:r>
      <w:r>
        <w:rPr>
          <w:spacing w:val="-12"/>
        </w:rPr>
        <w:t> </w:t>
      </w:r>
      <w:r>
        <w:rPr/>
        <w:t>by</w:t>
      </w:r>
      <w:r>
        <w:rPr>
          <w:spacing w:val="-11"/>
        </w:rPr>
        <w:t> </w:t>
      </w:r>
      <w:r>
        <w:rPr/>
        <w:t>small</w:t>
      </w:r>
      <w:r>
        <w:rPr>
          <w:spacing w:val="-11"/>
        </w:rPr>
        <w:t> </w:t>
      </w:r>
      <w:r>
        <w:rPr/>
        <w:t>molecules</w:t>
      </w:r>
      <w:r>
        <w:rPr>
          <w:spacing w:val="-11"/>
        </w:rPr>
        <w:t> </w:t>
      </w:r>
      <w:r>
        <w:rPr/>
        <w:t>(Maraviroc)</w:t>
      </w:r>
      <w:r>
        <w:rPr>
          <w:spacing w:val="-10"/>
        </w:rPr>
        <w:t> </w:t>
      </w:r>
      <w:r>
        <w:rPr/>
        <w:t>or</w:t>
      </w:r>
      <w:r>
        <w:rPr>
          <w:spacing w:val="-11"/>
        </w:rPr>
        <w:t> </w:t>
      </w:r>
      <w:r>
        <w:rPr/>
        <w:t>a</w:t>
      </w:r>
      <w:r>
        <w:rPr>
          <w:spacing w:val="-11"/>
        </w:rPr>
        <w:t> </w:t>
      </w:r>
      <w:r>
        <w:rPr/>
        <w:t>humanized</w:t>
      </w:r>
      <w:r>
        <w:rPr>
          <w:spacing w:val="-12"/>
        </w:rPr>
        <w:t> </w:t>
      </w:r>
      <w:r>
        <w:rPr/>
        <w:t>monoclonal antibody</w:t>
      </w:r>
      <w:r>
        <w:rPr>
          <w:spacing w:val="-5"/>
        </w:rPr>
        <w:t> </w:t>
      </w:r>
      <w:r>
        <w:rPr/>
        <w:t>(Leronlimab),</w:t>
      </w:r>
      <w:r>
        <w:rPr>
          <w:spacing w:val="-5"/>
        </w:rPr>
        <w:t> </w:t>
      </w:r>
      <w:r>
        <w:rPr/>
        <w:t>reduced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breast</w:t>
      </w:r>
      <w:r>
        <w:rPr>
          <w:spacing w:val="-2"/>
        </w:rPr>
        <w:t> </w:t>
      </w:r>
      <w:r>
        <w:rPr/>
        <w:t>cancer metastatic</w:t>
      </w:r>
      <w:r>
        <w:rPr>
          <w:spacing w:val="-4"/>
        </w:rPr>
        <w:t> </w:t>
      </w:r>
      <w:r>
        <w:rPr/>
        <w:t>burden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/>
        <w:t>murine</w:t>
      </w:r>
      <w:r>
        <w:rPr>
          <w:spacing w:val="-3"/>
        </w:rPr>
        <w:t> </w:t>
      </w:r>
      <w:r>
        <w:rPr/>
        <w:t>models</w:t>
      </w:r>
      <w:r>
        <w:rPr>
          <w:spacing w:val="-4"/>
        </w:rPr>
        <w:t> </w:t>
      </w:r>
      <w:r>
        <w:rPr/>
        <w:t>(1-3),</w:t>
      </w:r>
      <w:r>
        <w:rPr>
          <w:spacing w:val="-5"/>
        </w:rPr>
        <w:t> </w:t>
      </w:r>
      <w:r>
        <w:rPr/>
        <w:t>with</w:t>
      </w:r>
      <w:r>
        <w:rPr>
          <w:spacing w:val="-4"/>
        </w:rPr>
        <w:t> </w:t>
      </w:r>
      <w:r>
        <w:rPr/>
        <w:t>distinct</w:t>
      </w:r>
      <w:r>
        <w:rPr>
          <w:spacing w:val="-4"/>
        </w:rPr>
        <w:t> </w:t>
      </w:r>
      <w:r>
        <w:rPr/>
        <w:t>impact</w:t>
      </w:r>
      <w:r>
        <w:rPr>
          <w:spacing w:val="-3"/>
        </w:rPr>
        <w:t> </w:t>
      </w:r>
      <w:r>
        <w:rPr/>
        <w:t>on secretomes and promising results in a Phase 1B/2 study (4). With cancer survivors estimated at 19 million in the USA by 2025, DOX-induced cardiotoxicity is considered part of the “cardio-oncology</w:t>
      </w:r>
      <w:r>
        <w:rPr>
          <w:spacing w:val="-12"/>
        </w:rPr>
        <w:t> </w:t>
      </w:r>
      <w:r>
        <w:rPr/>
        <w:t>epidemic”.</w:t>
      </w:r>
    </w:p>
    <w:p>
      <w:pPr>
        <w:pStyle w:val="BodyText"/>
        <w:ind w:right="115" w:firstLine="720"/>
      </w:pPr>
      <w:r>
        <w:rPr/>
        <w:t>Herein, we show that: (i). CCR5 inhibitors (CCR5i) enhanced DOX-induced cell death of breast cancer cells; (ii). CCR5 and its ligand CCl5, were induced by DOX in cardiac myocytes in both the hearts of patients undergoing cardiac transplantation for DOX-induced cardiomyopathy and in a murine model of DOX-cardiac toxicity</w:t>
      </w:r>
      <w:r>
        <w:rPr>
          <w:spacing w:val="-16"/>
        </w:rPr>
        <w:t> </w:t>
      </w:r>
      <w:r>
        <w:rPr/>
        <w:t>(iii).</w:t>
      </w:r>
      <w:r>
        <w:rPr>
          <w:spacing w:val="22"/>
        </w:rPr>
        <w:t> </w:t>
      </w:r>
      <w:r>
        <w:rPr/>
        <w:t>CCR5i</w:t>
      </w:r>
      <w:r>
        <w:rPr>
          <w:spacing w:val="-15"/>
        </w:rPr>
        <w:t> </w:t>
      </w:r>
      <w:r>
        <w:rPr/>
        <w:t>protected</w:t>
      </w:r>
      <w:r>
        <w:rPr>
          <w:spacing w:val="-16"/>
        </w:rPr>
        <w:t> </w:t>
      </w:r>
      <w:r>
        <w:rPr/>
        <w:t>human</w:t>
      </w:r>
      <w:r>
        <w:rPr>
          <w:spacing w:val="-17"/>
        </w:rPr>
        <w:t> </w:t>
      </w:r>
      <w:r>
        <w:rPr/>
        <w:t>iPSC-derived</w:t>
      </w:r>
      <w:r>
        <w:rPr>
          <w:spacing w:val="-16"/>
        </w:rPr>
        <w:t> </w:t>
      </w:r>
      <w:r>
        <w:rPr/>
        <w:t>cardiomyocytes</w:t>
      </w:r>
      <w:r>
        <w:rPr>
          <w:spacing w:val="-15"/>
        </w:rPr>
        <w:t> </w:t>
      </w:r>
      <w:r>
        <w:rPr/>
        <w:t>and</w:t>
      </w:r>
      <w:r>
        <w:rPr>
          <w:spacing w:val="-15"/>
        </w:rPr>
        <w:t> </w:t>
      </w:r>
      <w:r>
        <w:rPr/>
        <w:t>isolated</w:t>
      </w:r>
      <w:r>
        <w:rPr>
          <w:spacing w:val="-16"/>
        </w:rPr>
        <w:t> </w:t>
      </w:r>
      <w:r>
        <w:rPr/>
        <w:t>canine</w:t>
      </w:r>
      <w:r>
        <w:rPr>
          <w:spacing w:val="-16"/>
        </w:rPr>
        <w:t> </w:t>
      </w:r>
      <w:r>
        <w:rPr/>
        <w:t>cardiomyocytes</w:t>
      </w:r>
      <w:r>
        <w:rPr>
          <w:spacing w:val="-17"/>
        </w:rPr>
        <w:t> </w:t>
      </w:r>
      <w:r>
        <w:rPr/>
        <w:t>from</w:t>
      </w:r>
      <w:r>
        <w:rPr>
          <w:spacing w:val="-16"/>
        </w:rPr>
        <w:t> </w:t>
      </w:r>
      <w:r>
        <w:rPr/>
        <w:t>DOX- induced cell death; and (iv). CCR5i substantially reduced (&gt;90%) DOX-induced cardiac dysfunction in mice. We conclude that CCR5 inhibitors (CCR5i) are “dual function” compounds that provide both cardiac protection and enhanced</w:t>
      </w:r>
      <w:r>
        <w:rPr>
          <w:spacing w:val="-4"/>
        </w:rPr>
        <w:t> </w:t>
      </w:r>
      <w:r>
        <w:rPr/>
        <w:t>breast</w:t>
      </w:r>
      <w:r>
        <w:rPr>
          <w:spacing w:val="-5"/>
        </w:rPr>
        <w:t> </w:t>
      </w:r>
      <w:r>
        <w:rPr/>
        <w:t>cancer</w:t>
      </w:r>
      <w:r>
        <w:rPr>
          <w:spacing w:val="-5"/>
        </w:rPr>
        <w:t> </w:t>
      </w:r>
      <w:r>
        <w:rPr/>
        <w:t>cell</w:t>
      </w:r>
      <w:r>
        <w:rPr>
          <w:spacing w:val="-7"/>
        </w:rPr>
        <w:t> </w:t>
      </w:r>
      <w:r>
        <w:rPr/>
        <w:t>killing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presence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>
          <w:spacing w:val="-2"/>
        </w:rPr>
        <w:t>DNA</w:t>
      </w:r>
      <w:r>
        <w:rPr>
          <w:spacing w:val="-6"/>
        </w:rPr>
        <w:t> </w:t>
      </w:r>
      <w:r>
        <w:rPr/>
        <w:t>damaging</w:t>
      </w:r>
      <w:r>
        <w:rPr>
          <w:spacing w:val="-1"/>
        </w:rPr>
        <w:t> </w:t>
      </w:r>
      <w:r>
        <w:rPr/>
        <w:t>chemotherapy</w:t>
      </w:r>
      <w:r>
        <w:rPr>
          <w:spacing w:val="-4"/>
        </w:rPr>
        <w:t> </w:t>
      </w:r>
      <w:r>
        <w:rPr/>
        <w:t>agents.</w:t>
      </w:r>
      <w:r>
        <w:rPr>
          <w:spacing w:val="-4"/>
        </w:rPr>
        <w:t> </w:t>
      </w:r>
      <w:r>
        <w:rPr/>
        <w:t>Our</w:t>
      </w:r>
      <w:r>
        <w:rPr>
          <w:spacing w:val="-5"/>
        </w:rPr>
        <w:t> </w:t>
      </w:r>
      <w:r>
        <w:rPr/>
        <w:t>studies</w:t>
      </w:r>
      <w:r>
        <w:rPr>
          <w:spacing w:val="-5"/>
        </w:rPr>
        <w:t> </w:t>
      </w:r>
      <w:r>
        <w:rPr/>
        <w:t>may</w:t>
      </w:r>
      <w:r>
        <w:rPr>
          <w:spacing w:val="-6"/>
        </w:rPr>
        <w:t> </w:t>
      </w:r>
      <w:r>
        <w:rPr/>
        <w:t>have</w:t>
      </w:r>
      <w:r>
        <w:rPr>
          <w:spacing w:val="-3"/>
        </w:rPr>
        <w:t> </w:t>
      </w:r>
      <w:r>
        <w:rPr/>
        <w:t>a broad</w:t>
      </w:r>
      <w:r>
        <w:rPr>
          <w:spacing w:val="-9"/>
        </w:rPr>
        <w:t> </w:t>
      </w:r>
      <w:r>
        <w:rPr/>
        <w:t>impact</w:t>
      </w:r>
      <w:r>
        <w:rPr>
          <w:spacing w:val="-5"/>
        </w:rPr>
        <w:t> </w:t>
      </w:r>
      <w:r>
        <w:rPr/>
        <w:t>by</w:t>
      </w:r>
      <w:r>
        <w:rPr>
          <w:spacing w:val="-7"/>
        </w:rPr>
        <w:t> </w:t>
      </w:r>
      <w:r>
        <w:rPr/>
        <w:t>identifying</w:t>
      </w:r>
      <w:r>
        <w:rPr>
          <w:spacing w:val="-9"/>
        </w:rPr>
        <w:t> </w:t>
      </w:r>
      <w:r>
        <w:rPr/>
        <w:t>a</w:t>
      </w:r>
      <w:r>
        <w:rPr>
          <w:spacing w:val="-7"/>
        </w:rPr>
        <w:t> </w:t>
      </w:r>
      <w:r>
        <w:rPr/>
        <w:t>novel</w:t>
      </w:r>
      <w:r>
        <w:rPr>
          <w:spacing w:val="-5"/>
        </w:rPr>
        <w:t> </w:t>
      </w:r>
      <w:r>
        <w:rPr/>
        <w:t>approach</w:t>
      </w:r>
      <w:r>
        <w:rPr>
          <w:spacing w:val="-10"/>
        </w:rPr>
        <w:t> </w:t>
      </w:r>
      <w:r>
        <w:rPr/>
        <w:t>to</w:t>
      </w:r>
      <w:r>
        <w:rPr>
          <w:spacing w:val="-6"/>
        </w:rPr>
        <w:t> </w:t>
      </w:r>
      <w:r>
        <w:rPr/>
        <w:t>both</w:t>
      </w:r>
      <w:r>
        <w:rPr>
          <w:spacing w:val="-7"/>
        </w:rPr>
        <w:t> </w:t>
      </w:r>
      <w:r>
        <w:rPr/>
        <w:t>enhancing</w:t>
      </w:r>
      <w:r>
        <w:rPr>
          <w:spacing w:val="-6"/>
        </w:rPr>
        <w:t> </w:t>
      </w:r>
      <w:r>
        <w:rPr/>
        <w:t>therapeutic</w:t>
      </w:r>
      <w:r>
        <w:rPr>
          <w:spacing w:val="-6"/>
        </w:rPr>
        <w:t> </w:t>
      </w:r>
      <w:r>
        <w:rPr/>
        <w:t>efficacy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/>
        <w:t>providing</w:t>
      </w:r>
      <w:r>
        <w:rPr>
          <w:spacing w:val="-10"/>
        </w:rPr>
        <w:t> </w:t>
      </w:r>
      <w:r>
        <w:rPr/>
        <w:t>cardioprotection from DNA damaging agents that are widely used in cancer</w:t>
      </w:r>
      <w:r>
        <w:rPr>
          <w:spacing w:val="-3"/>
        </w:rPr>
        <w:t> </w:t>
      </w:r>
      <w:r>
        <w:rPr/>
        <w:t>treatment.</w:t>
      </w:r>
    </w:p>
    <w:p>
      <w:pPr>
        <w:pStyle w:val="Title"/>
      </w:pPr>
      <w:r>
        <w:rPr/>
        <w:t>Key words. breast cancer, metastasis, CCR5, cardiotoxicity, prevention. References.</w:t>
      </w:r>
    </w:p>
    <w:p>
      <w:pPr>
        <w:pStyle w:val="ListParagraph"/>
        <w:numPr>
          <w:ilvl w:val="0"/>
          <w:numId w:val="1"/>
        </w:numPr>
        <w:tabs>
          <w:tab w:pos="275" w:val="left" w:leader="none"/>
        </w:tabs>
        <w:spacing w:line="201" w:lineRule="exact" w:before="0" w:after="0"/>
        <w:ind w:left="274" w:right="0" w:hanging="168"/>
        <w:jc w:val="left"/>
        <w:rPr>
          <w:sz w:val="22"/>
        </w:rPr>
      </w:pPr>
      <w:r>
        <w:rPr>
          <w:sz w:val="22"/>
        </w:rPr>
        <w:t>Velasco-Velazquez</w:t>
      </w:r>
      <w:r>
        <w:rPr>
          <w:spacing w:val="11"/>
          <w:sz w:val="22"/>
        </w:rPr>
        <w:t> </w:t>
      </w:r>
      <w:r>
        <w:rPr>
          <w:sz w:val="22"/>
        </w:rPr>
        <w:t>M,</w:t>
      </w:r>
      <w:r>
        <w:rPr>
          <w:spacing w:val="11"/>
          <w:sz w:val="22"/>
        </w:rPr>
        <w:t> </w:t>
      </w:r>
      <w:r>
        <w:rPr>
          <w:sz w:val="22"/>
        </w:rPr>
        <w:t>Jiao</w:t>
      </w:r>
      <w:r>
        <w:rPr>
          <w:spacing w:val="12"/>
          <w:sz w:val="22"/>
        </w:rPr>
        <w:t> </w:t>
      </w:r>
      <w:r>
        <w:rPr>
          <w:sz w:val="22"/>
        </w:rPr>
        <w:t>X,</w:t>
      </w:r>
      <w:r>
        <w:rPr>
          <w:spacing w:val="10"/>
          <w:sz w:val="22"/>
        </w:rPr>
        <w:t> </w:t>
      </w:r>
      <w:r>
        <w:rPr>
          <w:sz w:val="22"/>
        </w:rPr>
        <w:t>De</w:t>
      </w:r>
      <w:r>
        <w:rPr>
          <w:spacing w:val="12"/>
          <w:sz w:val="22"/>
        </w:rPr>
        <w:t> </w:t>
      </w:r>
      <w:r>
        <w:rPr>
          <w:sz w:val="22"/>
        </w:rPr>
        <w:t>La</w:t>
      </w:r>
      <w:r>
        <w:rPr>
          <w:spacing w:val="10"/>
          <w:sz w:val="22"/>
        </w:rPr>
        <w:t> </w:t>
      </w:r>
      <w:r>
        <w:rPr>
          <w:sz w:val="22"/>
        </w:rPr>
        <w:t>Fuente</w:t>
      </w:r>
      <w:r>
        <w:rPr>
          <w:spacing w:val="12"/>
          <w:sz w:val="22"/>
        </w:rPr>
        <w:t> </w:t>
      </w:r>
      <w:r>
        <w:rPr>
          <w:sz w:val="22"/>
        </w:rPr>
        <w:t>M,</w:t>
      </w:r>
      <w:r>
        <w:rPr>
          <w:spacing w:val="11"/>
          <w:sz w:val="22"/>
        </w:rPr>
        <w:t> </w:t>
      </w:r>
      <w:r>
        <w:rPr>
          <w:sz w:val="22"/>
        </w:rPr>
        <w:t>Pestell</w:t>
      </w:r>
      <w:r>
        <w:rPr>
          <w:spacing w:val="12"/>
          <w:sz w:val="22"/>
        </w:rPr>
        <w:t> </w:t>
      </w:r>
      <w:r>
        <w:rPr>
          <w:sz w:val="22"/>
        </w:rPr>
        <w:t>TG,</w:t>
      </w:r>
      <w:r>
        <w:rPr>
          <w:spacing w:val="10"/>
          <w:sz w:val="22"/>
        </w:rPr>
        <w:t> </w:t>
      </w:r>
      <w:r>
        <w:rPr>
          <w:sz w:val="22"/>
        </w:rPr>
        <w:t>Ertel</w:t>
      </w:r>
      <w:r>
        <w:rPr>
          <w:spacing w:val="13"/>
          <w:sz w:val="22"/>
        </w:rPr>
        <w:t> </w:t>
      </w:r>
      <w:r>
        <w:rPr>
          <w:sz w:val="22"/>
        </w:rPr>
        <w:t>A,</w:t>
      </w:r>
      <w:r>
        <w:rPr>
          <w:spacing w:val="10"/>
          <w:sz w:val="22"/>
        </w:rPr>
        <w:t> </w:t>
      </w:r>
      <w:r>
        <w:rPr>
          <w:sz w:val="22"/>
        </w:rPr>
        <w:t>Lisanti</w:t>
      </w:r>
      <w:r>
        <w:rPr>
          <w:spacing w:val="12"/>
          <w:sz w:val="22"/>
        </w:rPr>
        <w:t> </w:t>
      </w:r>
      <w:r>
        <w:rPr>
          <w:sz w:val="22"/>
        </w:rPr>
        <w:t>MP,</w:t>
      </w:r>
      <w:r>
        <w:rPr>
          <w:spacing w:val="11"/>
          <w:sz w:val="22"/>
        </w:rPr>
        <w:t> </w:t>
      </w:r>
      <w:r>
        <w:rPr>
          <w:sz w:val="22"/>
        </w:rPr>
        <w:t>Pestell</w:t>
      </w:r>
      <w:r>
        <w:rPr>
          <w:spacing w:val="12"/>
          <w:sz w:val="22"/>
        </w:rPr>
        <w:t> </w:t>
      </w:r>
      <w:r>
        <w:rPr>
          <w:sz w:val="22"/>
        </w:rPr>
        <w:t>RG.</w:t>
      </w:r>
      <w:r>
        <w:rPr>
          <w:spacing w:val="10"/>
          <w:sz w:val="22"/>
        </w:rPr>
        <w:t> </w:t>
      </w:r>
      <w:r>
        <w:rPr>
          <w:sz w:val="22"/>
        </w:rPr>
        <w:t>CCR5</w:t>
      </w:r>
      <w:r>
        <w:rPr>
          <w:spacing w:val="11"/>
          <w:sz w:val="22"/>
        </w:rPr>
        <w:t> </w:t>
      </w:r>
      <w:r>
        <w:rPr>
          <w:sz w:val="22"/>
        </w:rPr>
        <w:t>antagonist</w:t>
      </w:r>
    </w:p>
    <w:p>
      <w:pPr>
        <w:pStyle w:val="BodyText"/>
        <w:spacing w:line="252" w:lineRule="exact"/>
        <w:jc w:val="left"/>
      </w:pPr>
      <w:r>
        <w:rPr/>
        <w:t>blocks metastasis of basal breast cancer cells. Cancer Res. 2012;72(15):3839-50. PMID: 22637726.</w:t>
      </w:r>
    </w:p>
    <w:p>
      <w:pPr>
        <w:pStyle w:val="ListParagraph"/>
        <w:numPr>
          <w:ilvl w:val="0"/>
          <w:numId w:val="1"/>
        </w:numPr>
        <w:tabs>
          <w:tab w:pos="339" w:val="left" w:leader="none"/>
        </w:tabs>
        <w:spacing w:line="240" w:lineRule="auto" w:before="0" w:after="0"/>
        <w:ind w:left="107" w:right="118" w:firstLine="0"/>
        <w:jc w:val="both"/>
        <w:rPr>
          <w:sz w:val="22"/>
        </w:rPr>
      </w:pPr>
      <w:r>
        <w:rPr>
          <w:sz w:val="22"/>
        </w:rPr>
        <w:t>Jiao X, Velasco-Velazquez MA, Wang M, Li Z, Rui H, Peck AR, Korkola JE, Chen X, Xu S, DuHadaway JB, Guerrero-Rodriguez</w:t>
      </w:r>
      <w:r>
        <w:rPr>
          <w:spacing w:val="-8"/>
          <w:sz w:val="22"/>
        </w:rPr>
        <w:t> </w:t>
      </w:r>
      <w:r>
        <w:rPr>
          <w:sz w:val="22"/>
        </w:rPr>
        <w:t>S,</w:t>
      </w:r>
      <w:r>
        <w:rPr>
          <w:spacing w:val="-9"/>
          <w:sz w:val="22"/>
        </w:rPr>
        <w:t> </w:t>
      </w:r>
      <w:r>
        <w:rPr>
          <w:sz w:val="22"/>
        </w:rPr>
        <w:t>Addya</w:t>
      </w:r>
      <w:r>
        <w:rPr>
          <w:spacing w:val="-7"/>
          <w:sz w:val="22"/>
        </w:rPr>
        <w:t> </w:t>
      </w:r>
      <w:r>
        <w:rPr>
          <w:sz w:val="22"/>
        </w:rPr>
        <w:t>S,</w:t>
      </w:r>
      <w:r>
        <w:rPr>
          <w:spacing w:val="-9"/>
          <w:sz w:val="22"/>
        </w:rPr>
        <w:t> </w:t>
      </w:r>
      <w:r>
        <w:rPr>
          <w:sz w:val="22"/>
        </w:rPr>
        <w:t>Sicoli</w:t>
      </w:r>
      <w:r>
        <w:rPr>
          <w:spacing w:val="-8"/>
          <w:sz w:val="22"/>
        </w:rPr>
        <w:t> </w:t>
      </w:r>
      <w:r>
        <w:rPr>
          <w:sz w:val="22"/>
        </w:rPr>
        <w:t>D,</w:t>
      </w:r>
      <w:r>
        <w:rPr>
          <w:spacing w:val="-8"/>
          <w:sz w:val="22"/>
        </w:rPr>
        <w:t> </w:t>
      </w:r>
      <w:r>
        <w:rPr>
          <w:sz w:val="22"/>
        </w:rPr>
        <w:t>Mu</w:t>
      </w:r>
      <w:r>
        <w:rPr>
          <w:spacing w:val="-8"/>
          <w:sz w:val="22"/>
        </w:rPr>
        <w:t> </w:t>
      </w:r>
      <w:r>
        <w:rPr>
          <w:sz w:val="22"/>
        </w:rPr>
        <w:t>Z,</w:t>
      </w:r>
      <w:r>
        <w:rPr>
          <w:spacing w:val="-8"/>
          <w:sz w:val="22"/>
        </w:rPr>
        <w:t> </w:t>
      </w:r>
      <w:r>
        <w:rPr>
          <w:sz w:val="22"/>
        </w:rPr>
        <w:t>Zhang</w:t>
      </w:r>
      <w:r>
        <w:rPr>
          <w:spacing w:val="-9"/>
          <w:sz w:val="22"/>
        </w:rPr>
        <w:t> </w:t>
      </w:r>
      <w:r>
        <w:rPr>
          <w:sz w:val="22"/>
        </w:rPr>
        <w:t>G,</w:t>
      </w:r>
      <w:r>
        <w:rPr>
          <w:spacing w:val="-9"/>
          <w:sz w:val="22"/>
        </w:rPr>
        <w:t> </w:t>
      </w:r>
      <w:r>
        <w:rPr>
          <w:sz w:val="22"/>
        </w:rPr>
        <w:t>Stucky</w:t>
      </w:r>
      <w:r>
        <w:rPr>
          <w:spacing w:val="-8"/>
          <w:sz w:val="22"/>
        </w:rPr>
        <w:t> </w:t>
      </w:r>
      <w:r>
        <w:rPr>
          <w:sz w:val="22"/>
        </w:rPr>
        <w:t>A,</w:t>
      </w:r>
      <w:r>
        <w:rPr>
          <w:spacing w:val="-9"/>
          <w:sz w:val="22"/>
        </w:rPr>
        <w:t> </w:t>
      </w:r>
      <w:r>
        <w:rPr>
          <w:sz w:val="22"/>
        </w:rPr>
        <w:t>Zhang</w:t>
      </w:r>
      <w:r>
        <w:rPr>
          <w:spacing w:val="-8"/>
          <w:sz w:val="22"/>
        </w:rPr>
        <w:t> </w:t>
      </w:r>
      <w:r>
        <w:rPr>
          <w:sz w:val="22"/>
        </w:rPr>
        <w:t>X,</w:t>
      </w:r>
      <w:r>
        <w:rPr>
          <w:spacing w:val="-9"/>
          <w:sz w:val="22"/>
        </w:rPr>
        <w:t> </w:t>
      </w:r>
      <w:r>
        <w:rPr>
          <w:sz w:val="22"/>
        </w:rPr>
        <w:t>Cristofanilli</w:t>
      </w:r>
      <w:r>
        <w:rPr>
          <w:spacing w:val="-8"/>
          <w:sz w:val="22"/>
        </w:rPr>
        <w:t> </w:t>
      </w:r>
      <w:r>
        <w:rPr>
          <w:sz w:val="22"/>
        </w:rPr>
        <w:t>M,</w:t>
      </w:r>
      <w:r>
        <w:rPr>
          <w:spacing w:val="-7"/>
          <w:sz w:val="22"/>
        </w:rPr>
        <w:t> </w:t>
      </w:r>
      <w:r>
        <w:rPr>
          <w:sz w:val="22"/>
        </w:rPr>
        <w:t>Fatatis</w:t>
      </w:r>
      <w:r>
        <w:rPr>
          <w:spacing w:val="-8"/>
          <w:sz w:val="22"/>
        </w:rPr>
        <w:t> </w:t>
      </w:r>
      <w:r>
        <w:rPr>
          <w:sz w:val="22"/>
        </w:rPr>
        <w:t>A,</w:t>
      </w:r>
      <w:r>
        <w:rPr>
          <w:spacing w:val="-8"/>
          <w:sz w:val="22"/>
        </w:rPr>
        <w:t> </w:t>
      </w:r>
      <w:r>
        <w:rPr>
          <w:sz w:val="22"/>
        </w:rPr>
        <w:t>Gray</w:t>
      </w:r>
      <w:r>
        <w:rPr>
          <w:spacing w:val="-9"/>
          <w:sz w:val="22"/>
        </w:rPr>
        <w:t> </w:t>
      </w:r>
      <w:r>
        <w:rPr>
          <w:sz w:val="22"/>
        </w:rPr>
        <w:t>JW, Zhong</w:t>
      </w:r>
      <w:r>
        <w:rPr>
          <w:spacing w:val="-4"/>
          <w:sz w:val="22"/>
        </w:rPr>
        <w:t> </w:t>
      </w:r>
      <w:r>
        <w:rPr>
          <w:sz w:val="22"/>
        </w:rPr>
        <w:t>JF,</w:t>
      </w:r>
      <w:r>
        <w:rPr>
          <w:spacing w:val="-3"/>
          <w:sz w:val="22"/>
        </w:rPr>
        <w:t> </w:t>
      </w:r>
      <w:r>
        <w:rPr>
          <w:sz w:val="22"/>
        </w:rPr>
        <w:t>Prendergast</w:t>
      </w:r>
      <w:r>
        <w:rPr>
          <w:spacing w:val="-3"/>
          <w:sz w:val="22"/>
        </w:rPr>
        <w:t> </w:t>
      </w:r>
      <w:r>
        <w:rPr>
          <w:sz w:val="22"/>
        </w:rPr>
        <w:t>GC,</w:t>
      </w:r>
      <w:r>
        <w:rPr>
          <w:spacing w:val="-4"/>
          <w:sz w:val="22"/>
        </w:rPr>
        <w:t> </w:t>
      </w:r>
      <w:r>
        <w:rPr>
          <w:sz w:val="22"/>
        </w:rPr>
        <w:t>Pestell</w:t>
      </w:r>
      <w:r>
        <w:rPr>
          <w:spacing w:val="-2"/>
          <w:sz w:val="22"/>
        </w:rPr>
        <w:t> </w:t>
      </w:r>
      <w:r>
        <w:rPr>
          <w:sz w:val="22"/>
        </w:rPr>
        <w:t>RG.</w:t>
      </w:r>
      <w:r>
        <w:rPr>
          <w:spacing w:val="-4"/>
          <w:sz w:val="22"/>
        </w:rPr>
        <w:t> </w:t>
      </w:r>
      <w:r>
        <w:rPr>
          <w:sz w:val="22"/>
        </w:rPr>
        <w:t>CCR5</w:t>
      </w:r>
      <w:r>
        <w:rPr>
          <w:spacing w:val="-4"/>
          <w:sz w:val="22"/>
        </w:rPr>
        <w:t> </w:t>
      </w:r>
      <w:r>
        <w:rPr>
          <w:sz w:val="22"/>
        </w:rPr>
        <w:t>governs</w:t>
      </w:r>
      <w:r>
        <w:rPr>
          <w:spacing w:val="-5"/>
          <w:sz w:val="22"/>
        </w:rPr>
        <w:t> </w:t>
      </w:r>
      <w:r>
        <w:rPr>
          <w:sz w:val="22"/>
        </w:rPr>
        <w:t>DNA</w:t>
      </w:r>
      <w:r>
        <w:rPr>
          <w:spacing w:val="-4"/>
          <w:sz w:val="22"/>
        </w:rPr>
        <w:t> </w:t>
      </w:r>
      <w:r>
        <w:rPr>
          <w:sz w:val="22"/>
        </w:rPr>
        <w:t>damage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breast</w:t>
      </w:r>
      <w:r>
        <w:rPr>
          <w:spacing w:val="-5"/>
          <w:sz w:val="22"/>
        </w:rPr>
        <w:t> </w:t>
      </w:r>
      <w:r>
        <w:rPr>
          <w:sz w:val="22"/>
        </w:rPr>
        <w:t>cancer</w:t>
      </w:r>
      <w:r>
        <w:rPr>
          <w:spacing w:val="-4"/>
          <w:sz w:val="22"/>
        </w:rPr>
        <w:t> </w:t>
      </w:r>
      <w:r>
        <w:rPr>
          <w:sz w:val="22"/>
        </w:rPr>
        <w:t>stem</w:t>
      </w:r>
      <w:r>
        <w:rPr>
          <w:spacing w:val="-5"/>
          <w:sz w:val="22"/>
        </w:rPr>
        <w:t> </w:t>
      </w:r>
      <w:r>
        <w:rPr>
          <w:sz w:val="22"/>
        </w:rPr>
        <w:t>cell</w:t>
      </w:r>
      <w:r>
        <w:rPr>
          <w:spacing w:val="-3"/>
          <w:sz w:val="22"/>
        </w:rPr>
        <w:t> </w:t>
      </w:r>
      <w:r>
        <w:rPr>
          <w:sz w:val="22"/>
        </w:rPr>
        <w:t>expansion.</w:t>
      </w:r>
      <w:r>
        <w:rPr>
          <w:spacing w:val="-6"/>
          <w:sz w:val="22"/>
        </w:rPr>
        <w:t> </w:t>
      </w:r>
      <w:r>
        <w:rPr>
          <w:sz w:val="22"/>
        </w:rPr>
        <w:t>Cancer Res. 2018. PMID: 29358169.</w:t>
      </w:r>
    </w:p>
    <w:p>
      <w:pPr>
        <w:pStyle w:val="ListParagraph"/>
        <w:numPr>
          <w:ilvl w:val="0"/>
          <w:numId w:val="1"/>
        </w:numPr>
        <w:tabs>
          <w:tab w:pos="275" w:val="left" w:leader="none"/>
        </w:tabs>
        <w:spacing w:line="240" w:lineRule="auto" w:before="0" w:after="0"/>
        <w:ind w:left="107" w:right="115" w:firstLine="0"/>
        <w:jc w:val="both"/>
        <w:rPr>
          <w:sz w:val="22"/>
        </w:rPr>
      </w:pPr>
      <w:r>
        <w:rPr>
          <w:sz w:val="22"/>
        </w:rPr>
        <w:t>Jiao</w:t>
      </w:r>
      <w:r>
        <w:rPr>
          <w:spacing w:val="-12"/>
          <w:sz w:val="22"/>
        </w:rPr>
        <w:t> </w:t>
      </w:r>
      <w:r>
        <w:rPr>
          <w:sz w:val="22"/>
        </w:rPr>
        <w:t>X,</w:t>
      </w:r>
      <w:r>
        <w:rPr>
          <w:spacing w:val="-11"/>
          <w:sz w:val="22"/>
        </w:rPr>
        <w:t> </w:t>
      </w:r>
      <w:r>
        <w:rPr>
          <w:sz w:val="22"/>
        </w:rPr>
        <w:t>Wang</w:t>
      </w:r>
      <w:r>
        <w:rPr>
          <w:spacing w:val="-11"/>
          <w:sz w:val="22"/>
        </w:rPr>
        <w:t> </w:t>
      </w:r>
      <w:r>
        <w:rPr>
          <w:sz w:val="22"/>
        </w:rPr>
        <w:t>M,</w:t>
      </w:r>
      <w:r>
        <w:rPr>
          <w:spacing w:val="-10"/>
          <w:sz w:val="22"/>
        </w:rPr>
        <w:t> </w:t>
      </w:r>
      <w:r>
        <w:rPr>
          <w:sz w:val="22"/>
        </w:rPr>
        <w:t>Zhang</w:t>
      </w:r>
      <w:r>
        <w:rPr>
          <w:spacing w:val="-11"/>
          <w:sz w:val="22"/>
        </w:rPr>
        <w:t> </w:t>
      </w:r>
      <w:r>
        <w:rPr>
          <w:sz w:val="22"/>
        </w:rPr>
        <w:t>Z,</w:t>
      </w:r>
      <w:r>
        <w:rPr>
          <w:spacing w:val="-12"/>
          <w:sz w:val="22"/>
        </w:rPr>
        <w:t> </w:t>
      </w:r>
      <w:r>
        <w:rPr>
          <w:sz w:val="22"/>
        </w:rPr>
        <w:t>Li</w:t>
      </w:r>
      <w:r>
        <w:rPr>
          <w:spacing w:val="-10"/>
          <w:sz w:val="22"/>
        </w:rPr>
        <w:t> </w:t>
      </w:r>
      <w:r>
        <w:rPr>
          <w:sz w:val="22"/>
        </w:rPr>
        <w:t>Z,</w:t>
      </w:r>
      <w:r>
        <w:rPr>
          <w:spacing w:val="-11"/>
          <w:sz w:val="22"/>
        </w:rPr>
        <w:t> </w:t>
      </w:r>
      <w:r>
        <w:rPr>
          <w:sz w:val="22"/>
        </w:rPr>
        <w:t>Ni</w:t>
      </w:r>
      <w:r>
        <w:rPr>
          <w:spacing w:val="-10"/>
          <w:sz w:val="22"/>
        </w:rPr>
        <w:t> </w:t>
      </w:r>
      <w:r>
        <w:rPr>
          <w:sz w:val="22"/>
        </w:rPr>
        <w:t>D,</w:t>
      </w:r>
      <w:r>
        <w:rPr>
          <w:spacing w:val="-11"/>
          <w:sz w:val="22"/>
        </w:rPr>
        <w:t> </w:t>
      </w:r>
      <w:r>
        <w:rPr>
          <w:sz w:val="22"/>
        </w:rPr>
        <w:t>Ashton</w:t>
      </w:r>
      <w:r>
        <w:rPr>
          <w:spacing w:val="-13"/>
          <w:sz w:val="22"/>
        </w:rPr>
        <w:t> </w:t>
      </w:r>
      <w:r>
        <w:rPr>
          <w:sz w:val="22"/>
        </w:rPr>
        <w:t>AW,</w:t>
      </w:r>
      <w:r>
        <w:rPr>
          <w:spacing w:val="-12"/>
          <w:sz w:val="22"/>
        </w:rPr>
        <w:t> </w:t>
      </w:r>
      <w:r>
        <w:rPr>
          <w:sz w:val="22"/>
        </w:rPr>
        <w:t>Tang</w:t>
      </w:r>
      <w:r>
        <w:rPr>
          <w:spacing w:val="-11"/>
          <w:sz w:val="22"/>
        </w:rPr>
        <w:t> </w:t>
      </w:r>
      <w:r>
        <w:rPr>
          <w:sz w:val="22"/>
        </w:rPr>
        <w:t>HY,</w:t>
      </w:r>
      <w:r>
        <w:rPr>
          <w:spacing w:val="-11"/>
          <w:sz w:val="22"/>
        </w:rPr>
        <w:t> </w:t>
      </w:r>
      <w:r>
        <w:rPr>
          <w:sz w:val="22"/>
        </w:rPr>
        <w:t>Speicher</w:t>
      </w:r>
      <w:r>
        <w:rPr>
          <w:spacing w:val="-10"/>
          <w:sz w:val="22"/>
        </w:rPr>
        <w:t> </w:t>
      </w:r>
      <w:r>
        <w:rPr>
          <w:sz w:val="22"/>
        </w:rPr>
        <w:t>DW,</w:t>
      </w:r>
      <w:r>
        <w:rPr>
          <w:spacing w:val="-11"/>
          <w:sz w:val="22"/>
        </w:rPr>
        <w:t> </w:t>
      </w:r>
      <w:r>
        <w:rPr>
          <w:sz w:val="22"/>
        </w:rPr>
        <w:t>Pestell</w:t>
      </w:r>
      <w:r>
        <w:rPr>
          <w:spacing w:val="-11"/>
          <w:sz w:val="22"/>
        </w:rPr>
        <w:t> </w:t>
      </w:r>
      <w:r>
        <w:rPr>
          <w:sz w:val="22"/>
        </w:rPr>
        <w:t>RG.</w:t>
      </w:r>
      <w:r>
        <w:rPr>
          <w:spacing w:val="-11"/>
          <w:sz w:val="22"/>
        </w:rPr>
        <w:t> </w:t>
      </w:r>
      <w:r>
        <w:rPr>
          <w:sz w:val="22"/>
        </w:rPr>
        <w:t>Leronlimab,</w:t>
      </w:r>
      <w:r>
        <w:rPr>
          <w:spacing w:val="-11"/>
          <w:sz w:val="22"/>
        </w:rPr>
        <w:t> </w:t>
      </w:r>
      <w:r>
        <w:rPr>
          <w:sz w:val="22"/>
        </w:rPr>
        <w:t>a</w:t>
      </w:r>
      <w:r>
        <w:rPr>
          <w:spacing w:val="-11"/>
          <w:sz w:val="22"/>
        </w:rPr>
        <w:t> </w:t>
      </w:r>
      <w:r>
        <w:rPr>
          <w:sz w:val="22"/>
        </w:rPr>
        <w:t>humanized monoclonal antibody to CCR5, blocks breast cancer cellular metastasis and enhances cell death induced by DNA damaging chemotherapy. Breast Cancer Res. 2021;23(1):11. PMID:</w:t>
      </w:r>
      <w:r>
        <w:rPr>
          <w:spacing w:val="-5"/>
          <w:sz w:val="22"/>
        </w:rPr>
        <w:t> </w:t>
      </w:r>
      <w:r>
        <w:rPr>
          <w:sz w:val="22"/>
        </w:rPr>
        <w:t>33485378;</w:t>
      </w:r>
    </w:p>
    <w:p>
      <w:pPr>
        <w:pStyle w:val="ListParagraph"/>
        <w:numPr>
          <w:ilvl w:val="0"/>
          <w:numId w:val="1"/>
        </w:numPr>
        <w:tabs>
          <w:tab w:pos="330" w:val="left" w:leader="none"/>
        </w:tabs>
        <w:spacing w:line="240" w:lineRule="auto" w:before="0" w:after="0"/>
        <w:ind w:left="107" w:right="114" w:firstLine="0"/>
        <w:jc w:val="both"/>
        <w:rPr>
          <w:sz w:val="22"/>
        </w:rPr>
      </w:pPr>
      <w:r>
        <w:rPr>
          <w:sz w:val="22"/>
        </w:rPr>
        <w:t>Cristofanilli, M., Chittoria N, Ehsani S, Rui H, Dolezal M, Stork-Sloots L, de Snoo F, Recknor C, Abramson V. Abstract</w:t>
      </w:r>
      <w:r>
        <w:rPr>
          <w:spacing w:val="-4"/>
          <w:sz w:val="22"/>
        </w:rPr>
        <w:t> </w:t>
      </w:r>
      <w:r>
        <w:rPr>
          <w:sz w:val="22"/>
        </w:rPr>
        <w:t>P5-17-08: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phase</w:t>
      </w:r>
      <w:r>
        <w:rPr>
          <w:spacing w:val="-5"/>
          <w:sz w:val="22"/>
        </w:rPr>
        <w:t> </w:t>
      </w:r>
      <w:r>
        <w:rPr>
          <w:sz w:val="22"/>
        </w:rPr>
        <w:t>Ib/II</w:t>
      </w:r>
      <w:r>
        <w:rPr>
          <w:spacing w:val="-5"/>
          <w:sz w:val="22"/>
        </w:rPr>
        <w:t> </w:t>
      </w:r>
      <w:r>
        <w:rPr>
          <w:sz w:val="22"/>
        </w:rPr>
        <w:t>study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leronlimab</w:t>
      </w:r>
      <w:r>
        <w:rPr>
          <w:spacing w:val="-3"/>
          <w:sz w:val="22"/>
        </w:rPr>
        <w:t> </w:t>
      </w:r>
      <w:r>
        <w:rPr>
          <w:sz w:val="22"/>
        </w:rPr>
        <w:t>combined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4"/>
          <w:sz w:val="22"/>
        </w:rPr>
        <w:t> </w:t>
      </w:r>
      <w:r>
        <w:rPr>
          <w:sz w:val="22"/>
        </w:rPr>
        <w:t>carboplatin</w:t>
      </w:r>
      <w:r>
        <w:rPr>
          <w:spacing w:val="-6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patients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4"/>
          <w:sz w:val="22"/>
        </w:rPr>
        <w:t> </w:t>
      </w:r>
      <w:r>
        <w:rPr>
          <w:sz w:val="22"/>
        </w:rPr>
        <w:t>CCR5+</w:t>
      </w:r>
      <w:r>
        <w:rPr>
          <w:spacing w:val="-6"/>
          <w:sz w:val="22"/>
        </w:rPr>
        <w:t> </w:t>
      </w:r>
      <w:r>
        <w:rPr>
          <w:sz w:val="22"/>
        </w:rPr>
        <w:t>metastatic triple-negative breast cancer (mTNBC). </w:t>
      </w:r>
      <w:r>
        <w:rPr>
          <w:i/>
          <w:sz w:val="22"/>
        </w:rPr>
        <w:t>Cancer Research </w:t>
      </w:r>
      <w:r>
        <w:rPr>
          <w:b/>
          <w:sz w:val="22"/>
        </w:rPr>
        <w:t>2022</w:t>
      </w:r>
      <w:r>
        <w:rPr>
          <w:sz w:val="22"/>
        </w:rPr>
        <w:t>, </w:t>
      </w:r>
      <w:r>
        <w:rPr>
          <w:i/>
          <w:sz w:val="22"/>
        </w:rPr>
        <w:t>82</w:t>
      </w:r>
      <w:r>
        <w:rPr>
          <w:sz w:val="22"/>
        </w:rPr>
        <w:t>, P5-17-08, doi:10.1158/1538-7445.SABCS21- P5-17-08.</w:t>
      </w:r>
    </w:p>
    <w:p>
      <w:pPr>
        <w:pStyle w:val="BodyText"/>
        <w:ind w:left="0"/>
        <w:jc w:val="left"/>
      </w:pPr>
    </w:p>
    <w:p>
      <w:pPr>
        <w:pStyle w:val="BodyText"/>
        <w:ind w:right="113"/>
      </w:pPr>
      <w:r>
        <w:rPr>
          <w:b/>
        </w:rPr>
        <w:t>Biography. Richard Pestell, AO., MD, PhD, MB, BS, MBA, FRACP, FACP. </w:t>
      </w:r>
      <w:r>
        <w:rPr/>
        <w:t>President Pennsylvania Cancer and Regenerative Medicine Center, Philadelphia, USA. is a clinician scientist </w:t>
      </w:r>
      <w:r>
        <w:rPr>
          <w:color w:val="212121"/>
        </w:rPr>
        <w:t>who was appointed Officer of the Order of Australia in the 2019 Queen's Birthday Honors for distinguished service to medicine, in the fields of endocrinology and oncology. He </w:t>
      </w:r>
      <w:r>
        <w:rPr/>
        <w:t>has &gt;700 published works (&gt;89,000 citations, H index 153) and holds patents in cancer diagnostics and treatment. He was previously Executive Vice President Thomas Jefferson University, Philadelphia,</w:t>
      </w:r>
      <w:r>
        <w:rPr>
          <w:spacing w:val="-4"/>
        </w:rPr>
        <w:t> </w:t>
      </w:r>
      <w:r>
        <w:rPr/>
        <w:t>USA.</w:t>
      </w:r>
      <w:r>
        <w:rPr>
          <w:spacing w:val="-3"/>
        </w:rPr>
        <w:t> </w:t>
      </w:r>
      <w:r>
        <w:rPr/>
        <w:t>He</w:t>
      </w:r>
      <w:r>
        <w:rPr>
          <w:spacing w:val="-3"/>
        </w:rPr>
        <w:t> </w:t>
      </w:r>
      <w:r>
        <w:rPr/>
        <w:t>received</w:t>
      </w:r>
      <w:r>
        <w:rPr>
          <w:spacing w:val="-7"/>
        </w:rPr>
        <w:t> </w:t>
      </w:r>
      <w:r>
        <w:rPr/>
        <w:t>M.D.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Ph.D.</w:t>
      </w:r>
      <w:r>
        <w:rPr>
          <w:spacing w:val="-5"/>
        </w:rPr>
        <w:t> </w:t>
      </w:r>
      <w:r>
        <w:rPr/>
        <w:t>degrees</w:t>
      </w:r>
      <w:r>
        <w:rPr>
          <w:spacing w:val="-3"/>
        </w:rPr>
        <w:t> </w:t>
      </w:r>
      <w:r>
        <w:rPr/>
        <w:t>from</w:t>
      </w:r>
      <w:r>
        <w:rPr>
          <w:spacing w:val="-5"/>
        </w:rPr>
        <w:t> </w:t>
      </w:r>
      <w:r>
        <w:rPr/>
        <w:t>Melbourne</w:t>
      </w:r>
      <w:r>
        <w:rPr>
          <w:spacing w:val="-4"/>
        </w:rPr>
        <w:t> </w:t>
      </w:r>
      <w:r>
        <w:rPr/>
        <w:t>University,</w:t>
      </w:r>
      <w:r>
        <w:rPr>
          <w:spacing w:val="-4"/>
        </w:rPr>
        <w:t> </w:t>
      </w:r>
      <w:r>
        <w:rPr/>
        <w:t>his</w:t>
      </w:r>
      <w:r>
        <w:rPr>
          <w:spacing w:val="-5"/>
        </w:rPr>
        <w:t> </w:t>
      </w:r>
      <w:r>
        <w:rPr/>
        <w:t>MBA</w:t>
      </w:r>
      <w:r>
        <w:rPr>
          <w:spacing w:val="-5"/>
        </w:rPr>
        <w:t> </w:t>
      </w:r>
      <w:r>
        <w:rPr/>
        <w:t>from</w:t>
      </w:r>
      <w:r>
        <w:rPr>
          <w:spacing w:val="-4"/>
        </w:rPr>
        <w:t> </w:t>
      </w:r>
      <w:r>
        <w:rPr/>
        <w:t>NYU and</w:t>
      </w:r>
      <w:r>
        <w:rPr>
          <w:spacing w:val="-4"/>
        </w:rPr>
        <w:t> </w:t>
      </w:r>
      <w:r>
        <w:rPr/>
        <w:t>was the Winthrop Fellow at Harvard Medical School and was Clinical Fellow at Massachusetts General Hospital. Dr. Pestell</w:t>
      </w:r>
      <w:r>
        <w:rPr>
          <w:spacing w:val="-5"/>
        </w:rPr>
        <w:t> </w:t>
      </w:r>
      <w:r>
        <w:rPr/>
        <w:t>identified</w:t>
      </w:r>
      <w:r>
        <w:rPr>
          <w:spacing w:val="-4"/>
        </w:rPr>
        <w:t> </w:t>
      </w:r>
      <w:r>
        <w:rPr/>
        <w:t>key</w:t>
      </w:r>
      <w:r>
        <w:rPr>
          <w:spacing w:val="-4"/>
        </w:rPr>
        <w:t> </w:t>
      </w:r>
      <w:r>
        <w:rPr/>
        <w:t>genetic</w:t>
      </w:r>
      <w:r>
        <w:rPr>
          <w:spacing w:val="-4"/>
        </w:rPr>
        <w:t> </w:t>
      </w:r>
      <w:r>
        <w:rPr/>
        <w:t>target</w:t>
      </w:r>
      <w:r>
        <w:rPr>
          <w:spacing w:val="-4"/>
        </w:rPr>
        <w:t> </w:t>
      </w:r>
      <w:r>
        <w:rPr/>
        <w:t>for</w:t>
      </w:r>
      <w:r>
        <w:rPr>
          <w:spacing w:val="-5"/>
        </w:rPr>
        <w:t> </w:t>
      </w:r>
      <w:r>
        <w:rPr/>
        <w:t>cancer</w:t>
      </w:r>
      <w:r>
        <w:rPr>
          <w:spacing w:val="-4"/>
        </w:rPr>
        <w:t> </w:t>
      </w:r>
      <w:r>
        <w:rPr/>
        <w:t>stem</w:t>
      </w:r>
      <w:r>
        <w:rPr>
          <w:spacing w:val="-4"/>
        </w:rPr>
        <w:t> </w:t>
      </w:r>
      <w:r>
        <w:rPr/>
        <w:t>cells</w:t>
      </w:r>
      <w:r>
        <w:rPr>
          <w:spacing w:val="-4"/>
        </w:rPr>
        <w:t> </w:t>
      </w:r>
      <w:r>
        <w:rPr/>
        <w:t>governing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onset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progression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cancer,</w:t>
      </w:r>
      <w:r>
        <w:rPr>
          <w:spacing w:val="-5"/>
        </w:rPr>
        <w:t> </w:t>
      </w:r>
      <w:r>
        <w:rPr/>
        <w:t>with</w:t>
      </w:r>
      <w:r>
        <w:rPr>
          <w:spacing w:val="-5"/>
        </w:rPr>
        <w:t> </w:t>
      </w:r>
      <w:r>
        <w:rPr/>
        <w:t>issued patents that have led to a current clinical</w:t>
      </w:r>
      <w:r>
        <w:rPr>
          <w:spacing w:val="-9"/>
        </w:rPr>
        <w:t> </w:t>
      </w:r>
      <w:r>
        <w:rPr/>
        <w:t>trial.</w:t>
      </w:r>
    </w:p>
    <w:sectPr>
      <w:type w:val="continuous"/>
      <w:pgSz w:w="12240" w:h="15840"/>
      <w:pgMar w:top="640" w:bottom="280" w:left="90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74" w:hanging="167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0" w:hanging="16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00" w:hanging="16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10" w:hanging="16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20" w:hanging="16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30" w:hanging="16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40" w:hanging="16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50" w:hanging="16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60" w:hanging="16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7"/>
      <w:jc w:val="both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53" w:line="506" w:lineRule="exact"/>
      <w:ind w:left="107" w:right="3513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7"/>
      <w:jc w:val="both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richard.pestell@bblumberg.org" TargetMode="External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2023-05-03T12:06:01Z</dcterms:created>
  <dcterms:modified xsi:type="dcterms:W3CDTF">2023-05-03T12:06:01Z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2023-05-03T00:00:00Z</vt:filetime>
  </property>
</Properties>
</file>