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>
          <w:color w:val="3379B7"/>
        </w:rPr>
        <w:t>CBX2:</w:t>
      </w:r>
      <w:r>
        <w:rPr>
          <w:color w:val="3379B7"/>
          <w:spacing w:val="-2"/>
        </w:rPr>
        <w:t> </w:t>
      </w:r>
      <w:r>
        <w:rPr>
          <w:color w:val="3379B7"/>
        </w:rPr>
        <w:t>a</w:t>
      </w:r>
      <w:r>
        <w:rPr>
          <w:color w:val="3379B7"/>
          <w:spacing w:val="-2"/>
        </w:rPr>
        <w:t> </w:t>
      </w:r>
      <w:r>
        <w:rPr>
          <w:color w:val="3379B7"/>
        </w:rPr>
        <w:t>potential marker</w:t>
      </w:r>
      <w:r>
        <w:rPr>
          <w:color w:val="3379B7"/>
          <w:spacing w:val="-2"/>
        </w:rPr>
        <w:t> </w:t>
      </w:r>
      <w:r>
        <w:rPr>
          <w:color w:val="3379B7"/>
        </w:rPr>
        <w:t>of</w:t>
      </w:r>
      <w:r>
        <w:rPr>
          <w:color w:val="3379B7"/>
          <w:spacing w:val="-2"/>
        </w:rPr>
        <w:t> </w:t>
      </w:r>
      <w:r>
        <w:rPr>
          <w:color w:val="3379B7"/>
        </w:rPr>
        <w:t>HER2+</w:t>
      </w:r>
      <w:r>
        <w:rPr>
          <w:color w:val="3379B7"/>
          <w:spacing w:val="-3"/>
        </w:rPr>
        <w:t> </w:t>
      </w:r>
      <w:r>
        <w:rPr>
          <w:color w:val="3379B7"/>
        </w:rPr>
        <w:t>breast-to-brain</w:t>
      </w:r>
      <w:r>
        <w:rPr>
          <w:color w:val="3379B7"/>
          <w:spacing w:val="-2"/>
        </w:rPr>
        <w:t> </w:t>
      </w:r>
      <w:r>
        <w:rPr>
          <w:color w:val="3379B7"/>
        </w:rPr>
        <w:t>metastasis</w:t>
      </w:r>
    </w:p>
    <w:p>
      <w:pPr>
        <w:pStyle w:val="BodyText"/>
        <w:spacing w:line="379" w:lineRule="auto" w:before="78"/>
        <w:ind w:left="270" w:right="3266"/>
        <w:rPr>
          <w:rFonts w:ascii="Arial MT"/>
        </w:rPr>
      </w:pPr>
      <w:r>
        <w:rPr>
          <w:rFonts w:ascii="Arial MT"/>
        </w:rPr>
        <w:t>Rachana Garg, PhD, Deapartment of Surgery, City of Hope Medical Center, California, USA</w:t>
      </w:r>
      <w:r>
        <w:rPr>
          <w:rFonts w:ascii="Arial MT"/>
          <w:spacing w:val="-47"/>
        </w:rPr>
        <w:t> </w:t>
      </w:r>
      <w:r>
        <w:rPr>
          <w:rFonts w:ascii="Arial MT"/>
        </w:rPr>
        <w:t>Zain</w:t>
      </w:r>
      <w:r>
        <w:rPr>
          <w:rFonts w:ascii="Arial MT"/>
          <w:spacing w:val="-1"/>
        </w:rPr>
        <w:t> </w:t>
      </w:r>
      <w:r>
        <w:rPr>
          <w:rFonts w:ascii="Arial MT"/>
        </w:rPr>
        <w:t>Jandial,</w:t>
      </w:r>
      <w:r>
        <w:rPr>
          <w:rFonts w:ascii="Arial MT"/>
          <w:spacing w:val="-1"/>
        </w:rPr>
        <w:t> </w:t>
      </w:r>
      <w:r>
        <w:rPr>
          <w:rFonts w:ascii="Arial MT"/>
        </w:rPr>
        <w:t>UG</w:t>
      </w:r>
      <w:r>
        <w:rPr>
          <w:rFonts w:ascii="Arial MT"/>
          <w:spacing w:val="-3"/>
        </w:rPr>
        <w:t> </w:t>
      </w:r>
      <w:r>
        <w:rPr>
          <w:rFonts w:ascii="Arial MT"/>
        </w:rPr>
        <w:t>Student,</w:t>
      </w:r>
      <w:r>
        <w:rPr>
          <w:rFonts w:ascii="Arial MT"/>
          <w:spacing w:val="1"/>
        </w:rPr>
        <w:t> </w:t>
      </w:r>
      <w:r>
        <w:rPr>
          <w:rFonts w:ascii="Arial MT"/>
        </w:rPr>
        <w:t>University of</w:t>
      </w:r>
      <w:r>
        <w:rPr>
          <w:rFonts w:ascii="Arial MT"/>
          <w:spacing w:val="-1"/>
        </w:rPr>
        <w:t> </w:t>
      </w:r>
      <w:r>
        <w:rPr>
          <w:rFonts w:ascii="Arial MT"/>
        </w:rPr>
        <w:t>California, Berkeley,</w:t>
      </w:r>
      <w:r>
        <w:rPr>
          <w:rFonts w:ascii="Arial MT"/>
          <w:spacing w:val="-1"/>
        </w:rPr>
        <w:t> </w:t>
      </w:r>
      <w:r>
        <w:rPr>
          <w:rFonts w:ascii="Arial MT"/>
        </w:rPr>
        <w:t>California,</w:t>
      </w:r>
      <w:r>
        <w:rPr>
          <w:rFonts w:ascii="Arial MT"/>
          <w:spacing w:val="-1"/>
        </w:rPr>
        <w:t> </w:t>
      </w:r>
      <w:r>
        <w:rPr>
          <w:rFonts w:ascii="Arial MT"/>
        </w:rPr>
        <w:t>USA</w:t>
      </w:r>
    </w:p>
    <w:p>
      <w:pPr>
        <w:pStyle w:val="BodyText"/>
        <w:spacing w:before="1"/>
        <w:ind w:left="270"/>
        <w:rPr>
          <w:rFonts w:ascii="Arial MT"/>
        </w:rPr>
      </w:pPr>
      <w:r>
        <w:rPr>
          <w:rFonts w:ascii="Arial MT"/>
        </w:rPr>
        <w:t>Yate-Ching</w:t>
      </w:r>
      <w:r>
        <w:rPr>
          <w:rFonts w:ascii="Arial MT"/>
          <w:spacing w:val="-2"/>
        </w:rPr>
        <w:t> </w:t>
      </w:r>
      <w:r>
        <w:rPr>
          <w:rFonts w:ascii="Arial MT"/>
        </w:rPr>
        <w:t>Yuan,</w:t>
      </w:r>
      <w:r>
        <w:rPr>
          <w:rFonts w:ascii="Arial MT"/>
          <w:spacing w:val="-3"/>
        </w:rPr>
        <w:t> </w:t>
      </w:r>
      <w:r>
        <w:rPr>
          <w:rFonts w:ascii="Arial MT"/>
        </w:rPr>
        <w:t>PhD,</w:t>
      </w:r>
      <w:r>
        <w:rPr>
          <w:rFonts w:ascii="Arial MT"/>
          <w:spacing w:val="-2"/>
        </w:rPr>
        <w:t> </w:t>
      </w:r>
      <w:r>
        <w:rPr>
          <w:rFonts w:ascii="Arial MT"/>
        </w:rPr>
        <w:t>Center</w:t>
      </w:r>
      <w:r>
        <w:rPr>
          <w:rFonts w:ascii="Arial MT"/>
          <w:spacing w:val="-1"/>
        </w:rPr>
        <w:t> </w:t>
      </w:r>
      <w:r>
        <w:rPr>
          <w:rFonts w:ascii="Arial MT"/>
        </w:rPr>
        <w:t>for</w:t>
      </w:r>
      <w:r>
        <w:rPr>
          <w:rFonts w:ascii="Arial MT"/>
          <w:spacing w:val="-2"/>
        </w:rPr>
        <w:t> </w:t>
      </w:r>
      <w:r>
        <w:rPr>
          <w:rFonts w:ascii="Arial MT"/>
        </w:rPr>
        <w:t>Informatics,</w:t>
      </w:r>
      <w:r>
        <w:rPr>
          <w:rFonts w:ascii="Arial MT"/>
          <w:spacing w:val="-3"/>
        </w:rPr>
        <w:t> </w:t>
      </w:r>
      <w:r>
        <w:rPr>
          <w:rFonts w:ascii="Arial MT"/>
        </w:rPr>
        <w:t>City</w:t>
      </w:r>
      <w:r>
        <w:rPr>
          <w:rFonts w:ascii="Arial MT"/>
          <w:spacing w:val="-3"/>
        </w:rPr>
        <w:t> </w:t>
      </w:r>
      <w:r>
        <w:rPr>
          <w:rFonts w:ascii="Arial MT"/>
        </w:rPr>
        <w:t>of</w:t>
      </w:r>
      <w:r>
        <w:rPr>
          <w:rFonts w:ascii="Arial MT"/>
          <w:spacing w:val="-2"/>
        </w:rPr>
        <w:t> </w:t>
      </w:r>
      <w:r>
        <w:rPr>
          <w:rFonts w:ascii="Arial MT"/>
        </w:rPr>
        <w:t>Hope</w:t>
      </w:r>
      <w:r>
        <w:rPr>
          <w:rFonts w:ascii="Arial MT"/>
          <w:spacing w:val="-3"/>
        </w:rPr>
        <w:t> </w:t>
      </w:r>
      <w:r>
        <w:rPr>
          <w:rFonts w:ascii="Arial MT"/>
        </w:rPr>
        <w:t>Medical</w:t>
      </w:r>
      <w:r>
        <w:rPr>
          <w:rFonts w:ascii="Arial MT"/>
          <w:spacing w:val="-2"/>
        </w:rPr>
        <w:t> </w:t>
      </w:r>
      <w:r>
        <w:rPr>
          <w:rFonts w:ascii="Arial MT"/>
        </w:rPr>
        <w:t>Center,</w:t>
      </w:r>
      <w:r>
        <w:rPr>
          <w:rFonts w:ascii="Arial MT"/>
          <w:spacing w:val="-1"/>
        </w:rPr>
        <w:t> </w:t>
      </w:r>
      <w:r>
        <w:rPr>
          <w:rFonts w:ascii="Arial MT"/>
        </w:rPr>
        <w:t>California,</w:t>
      </w:r>
      <w:r>
        <w:rPr>
          <w:rFonts w:ascii="Arial MT"/>
          <w:spacing w:val="-4"/>
        </w:rPr>
        <w:t> </w:t>
      </w:r>
      <w:r>
        <w:rPr>
          <w:rFonts w:ascii="Arial MT"/>
        </w:rPr>
        <w:t>USA</w:t>
      </w:r>
    </w:p>
    <w:p>
      <w:pPr>
        <w:pStyle w:val="BodyText"/>
        <w:rPr>
          <w:rFonts w:ascii="Arial MT"/>
          <w:sz w:val="20"/>
        </w:rPr>
      </w:pPr>
    </w:p>
    <w:p>
      <w:pPr>
        <w:spacing w:after="0"/>
        <w:rPr>
          <w:rFonts w:ascii="Arial MT"/>
          <w:sz w:val="20"/>
        </w:rPr>
        <w:sectPr>
          <w:type w:val="continuous"/>
          <w:pgSz w:w="11920" w:h="16850"/>
          <w:pgMar w:top="920" w:bottom="280" w:left="500" w:right="540"/>
        </w:sectPr>
      </w:pPr>
    </w:p>
    <w:p>
      <w:pPr>
        <w:pStyle w:val="BodyText"/>
        <w:spacing w:before="1"/>
        <w:rPr>
          <w:rFonts w:ascii="Arial MT"/>
          <w:sz w:val="21"/>
        </w:rPr>
      </w:pPr>
    </w:p>
    <w:p>
      <w:pPr>
        <w:pStyle w:val="Heading2"/>
        <w:spacing w:before="1"/>
        <w:ind w:left="220"/>
      </w:pPr>
      <w:r>
        <w:rPr>
          <w:color w:val="BE5A13"/>
        </w:rPr>
        <w:t>Abstract</w:t>
      </w:r>
    </w:p>
    <w:p>
      <w:pPr>
        <w:pStyle w:val="BodyText"/>
        <w:spacing w:line="230" w:lineRule="auto" w:before="69"/>
        <w:ind w:left="220"/>
        <w:jc w:val="both"/>
      </w:pPr>
      <w:r>
        <w:rPr>
          <w:w w:val="90"/>
        </w:rPr>
        <w:t>Breast cancer brain metastases (BBM) represent a significant clinical</w:t>
      </w:r>
      <w:r>
        <w:rPr>
          <w:spacing w:val="1"/>
          <w:w w:val="90"/>
        </w:rPr>
        <w:t> </w:t>
      </w:r>
      <w:r>
        <w:rPr>
          <w:w w:val="90"/>
        </w:rPr>
        <w:t>challenge, with patients having a dismal 20% one-year survival. In the</w:t>
      </w:r>
      <w:r>
        <w:rPr>
          <w:spacing w:val="1"/>
          <w:w w:val="90"/>
        </w:rPr>
        <w:t> </w:t>
      </w:r>
      <w:r>
        <w:rPr>
          <w:w w:val="90"/>
        </w:rPr>
        <w:t>present study, we investigated the differential gene expression profile</w:t>
      </w:r>
      <w:r>
        <w:rPr>
          <w:spacing w:val="1"/>
          <w:w w:val="90"/>
        </w:rPr>
        <w:t> </w:t>
      </w:r>
      <w:r>
        <w:rPr>
          <w:w w:val="90"/>
        </w:rPr>
        <w:t>between tumor and normal samples by querying various public breast</w:t>
      </w:r>
      <w:r>
        <w:rPr>
          <w:spacing w:val="1"/>
          <w:w w:val="90"/>
        </w:rPr>
        <w:t> </w:t>
      </w:r>
      <w:r>
        <w:rPr>
          <w:w w:val="90"/>
        </w:rPr>
        <w:t>cancer</w:t>
      </w:r>
      <w:r>
        <w:rPr>
          <w:spacing w:val="1"/>
          <w:w w:val="90"/>
        </w:rPr>
        <w:t> </w:t>
      </w:r>
      <w:r>
        <w:rPr>
          <w:w w:val="90"/>
        </w:rPr>
        <w:t>cohorts,</w:t>
      </w:r>
      <w:r>
        <w:rPr>
          <w:spacing w:val="1"/>
          <w:w w:val="90"/>
        </w:rPr>
        <w:t> </w:t>
      </w:r>
      <w:r>
        <w:rPr>
          <w:w w:val="90"/>
        </w:rPr>
        <w:t>including</w:t>
      </w:r>
      <w:r>
        <w:rPr>
          <w:spacing w:val="1"/>
          <w:w w:val="90"/>
        </w:rPr>
        <w:t> </w:t>
      </w:r>
      <w:r>
        <w:rPr>
          <w:w w:val="90"/>
        </w:rPr>
        <w:t>TCGA</w:t>
      </w:r>
      <w:r>
        <w:rPr>
          <w:spacing w:val="1"/>
          <w:w w:val="90"/>
        </w:rPr>
        <w:t> </w:t>
      </w:r>
      <w:r>
        <w:rPr>
          <w:w w:val="90"/>
        </w:rPr>
        <w:t>BRCA,</w:t>
      </w:r>
      <w:r>
        <w:rPr>
          <w:spacing w:val="1"/>
          <w:w w:val="90"/>
        </w:rPr>
        <w:t> </w:t>
      </w:r>
      <w:r>
        <w:rPr>
          <w:w w:val="90"/>
        </w:rPr>
        <w:t>METABRIC,</w:t>
      </w:r>
      <w:r>
        <w:rPr>
          <w:spacing w:val="1"/>
          <w:w w:val="90"/>
        </w:rPr>
        <w:t> </w:t>
      </w:r>
      <w:r>
        <w:rPr>
          <w:w w:val="90"/>
        </w:rPr>
        <w:t>GSE11121,</w:t>
      </w:r>
      <w:r>
        <w:rPr>
          <w:spacing w:val="1"/>
          <w:w w:val="90"/>
        </w:rPr>
        <w:t> </w:t>
      </w:r>
      <w:r>
        <w:rPr>
          <w:w w:val="90"/>
        </w:rPr>
        <w:t>GSE17705, GSE12276, and CCLE. We compared the mean threshold</w:t>
      </w:r>
      <w:r>
        <w:rPr>
          <w:spacing w:val="1"/>
          <w:w w:val="90"/>
        </w:rPr>
        <w:t> </w:t>
      </w:r>
      <w:r>
        <w:rPr>
          <w:spacing w:val="-2"/>
          <w:w w:val="96"/>
        </w:rPr>
        <w:t>i</w:t>
      </w:r>
      <w:r>
        <w:rPr>
          <w:w w:val="78"/>
        </w:rPr>
        <w:t>n</w:t>
      </w:r>
      <w:r>
        <w:rPr/>
        <w:t> </w:t>
      </w:r>
      <w:r>
        <w:rPr>
          <w:spacing w:val="-10"/>
        </w:rPr>
        <w:t> </w:t>
      </w:r>
      <w:r>
        <w:rPr>
          <w:spacing w:val="-1"/>
          <w:w w:val="97"/>
        </w:rPr>
        <w:t>t</w:t>
      </w:r>
      <w:r>
        <w:rPr>
          <w:w w:val="84"/>
        </w:rPr>
        <w:t>he</w:t>
      </w:r>
      <w:r>
        <w:rPr/>
        <w:t> </w:t>
      </w:r>
      <w:r>
        <w:rPr>
          <w:spacing w:val="-8"/>
        </w:rPr>
        <w:t> </w:t>
      </w:r>
      <w:r>
        <w:rPr>
          <w:spacing w:val="-1"/>
          <w:w w:val="99"/>
        </w:rPr>
        <w:t>b</w:t>
      </w:r>
      <w:r>
        <w:rPr>
          <w:w w:val="93"/>
        </w:rPr>
        <w:t>r</w:t>
      </w:r>
      <w:r>
        <w:rPr>
          <w:spacing w:val="1"/>
          <w:w w:val="93"/>
        </w:rPr>
        <w:t>e</w:t>
      </w:r>
      <w:r>
        <w:rPr>
          <w:spacing w:val="-1"/>
          <w:w w:val="99"/>
        </w:rPr>
        <w:t>a</w:t>
      </w:r>
      <w:r>
        <w:rPr>
          <w:w w:val="77"/>
        </w:rPr>
        <w:t>st</w:t>
      </w:r>
      <w:r>
        <w:rPr/>
        <w:t> </w:t>
      </w:r>
      <w:r>
        <w:rPr>
          <w:spacing w:val="-11"/>
        </w:rPr>
        <w:t> </w:t>
      </w:r>
      <w:r>
        <w:rPr>
          <w:w w:val="88"/>
        </w:rPr>
        <w:t>c</w:t>
      </w:r>
      <w:r>
        <w:rPr>
          <w:spacing w:val="-1"/>
          <w:w w:val="88"/>
        </w:rPr>
        <w:t>a</w:t>
      </w:r>
      <w:r>
        <w:rPr>
          <w:w w:val="77"/>
        </w:rPr>
        <w:t>nc</w:t>
      </w:r>
      <w:r>
        <w:rPr>
          <w:spacing w:val="1"/>
          <w:w w:val="89"/>
        </w:rPr>
        <w:t>e</w:t>
      </w:r>
      <w:r>
        <w:rPr/>
        <w:t>r </w:t>
      </w:r>
      <w:r>
        <w:rPr>
          <w:spacing w:val="-12"/>
        </w:rPr>
        <w:t> </w:t>
      </w:r>
      <w:r>
        <w:rPr>
          <w:spacing w:val="-1"/>
          <w:w w:val="99"/>
        </w:rPr>
        <w:t>p</w:t>
      </w:r>
      <w:r>
        <w:rPr>
          <w:spacing w:val="1"/>
          <w:w w:val="89"/>
        </w:rPr>
        <w:t>o</w:t>
      </w:r>
      <w:r>
        <w:rPr>
          <w:spacing w:val="-1"/>
          <w:w w:val="99"/>
        </w:rPr>
        <w:t>p</w:t>
      </w:r>
      <w:r>
        <w:rPr>
          <w:w w:val="83"/>
        </w:rPr>
        <w:t>u</w:t>
      </w:r>
      <w:r>
        <w:rPr>
          <w:spacing w:val="-1"/>
          <w:w w:val="83"/>
        </w:rPr>
        <w:t>l</w:t>
      </w:r>
      <w:r>
        <w:rPr>
          <w:spacing w:val="-1"/>
          <w:w w:val="99"/>
        </w:rPr>
        <w:t>a</w:t>
      </w:r>
      <w:r>
        <w:rPr>
          <w:spacing w:val="-1"/>
          <w:w w:val="97"/>
        </w:rPr>
        <w:t>t</w:t>
      </w:r>
      <w:r>
        <w:rPr>
          <w:spacing w:val="-2"/>
          <w:w w:val="96"/>
        </w:rPr>
        <w:t>i</w:t>
      </w:r>
      <w:r>
        <w:rPr>
          <w:spacing w:val="1"/>
          <w:w w:val="89"/>
        </w:rPr>
        <w:t>o</w:t>
      </w:r>
      <w:r>
        <w:rPr>
          <w:w w:val="78"/>
        </w:rPr>
        <w:t>n,</w:t>
      </w:r>
      <w:r>
        <w:rPr/>
        <w:t> </w:t>
      </w:r>
      <w:r>
        <w:rPr>
          <w:spacing w:val="-8"/>
        </w:rPr>
        <w:t> </w:t>
      </w:r>
      <w:r>
        <w:rPr>
          <w:w w:val="83"/>
        </w:rPr>
        <w:t>s</w:t>
      </w:r>
      <w:r>
        <w:rPr>
          <w:spacing w:val="-1"/>
          <w:w w:val="83"/>
        </w:rPr>
        <w:t>p</w:t>
      </w:r>
      <w:r>
        <w:rPr>
          <w:spacing w:val="1"/>
          <w:w w:val="89"/>
        </w:rPr>
        <w:t>e</w:t>
      </w:r>
      <w:r>
        <w:rPr>
          <w:w w:val="82"/>
        </w:rPr>
        <w:t>c</w:t>
      </w:r>
      <w:r>
        <w:rPr>
          <w:spacing w:val="-1"/>
          <w:w w:val="82"/>
        </w:rPr>
        <w:t>i</w:t>
      </w:r>
      <w:r>
        <w:rPr>
          <w:w w:val="109"/>
        </w:rPr>
        <w:t>f</w:t>
      </w:r>
      <w:r>
        <w:rPr>
          <w:spacing w:val="-1"/>
          <w:w w:val="109"/>
        </w:rPr>
        <w:t>i</w:t>
      </w:r>
      <w:r>
        <w:rPr>
          <w:w w:val="88"/>
        </w:rPr>
        <w:t>c</w:t>
      </w:r>
      <w:r>
        <w:rPr>
          <w:spacing w:val="-1"/>
          <w:w w:val="88"/>
        </w:rPr>
        <w:t>a</w:t>
      </w:r>
      <w:r>
        <w:rPr>
          <w:spacing w:val="-2"/>
          <w:w w:val="96"/>
        </w:rPr>
        <w:t>ll</w:t>
      </w:r>
      <w:r>
        <w:rPr/>
        <w:t>y </w:t>
      </w:r>
      <w:r>
        <w:rPr>
          <w:spacing w:val="-9"/>
        </w:rPr>
        <w:t> </w:t>
      </w:r>
      <w:r>
        <w:rPr>
          <w:spacing w:val="-2"/>
          <w:w w:val="96"/>
        </w:rPr>
        <w:t>i</w:t>
      </w:r>
      <w:r>
        <w:rPr>
          <w:w w:val="78"/>
        </w:rPr>
        <w:t>n</w:t>
      </w:r>
      <w:r>
        <w:rPr/>
        <w:t> </w:t>
      </w:r>
      <w:r>
        <w:rPr>
          <w:spacing w:val="-10"/>
        </w:rPr>
        <w:t> </w:t>
      </w:r>
      <w:r>
        <w:rPr>
          <w:spacing w:val="-1"/>
          <w:w w:val="97"/>
        </w:rPr>
        <w:t>t</w:t>
      </w:r>
      <w:r>
        <w:rPr>
          <w:w w:val="84"/>
        </w:rPr>
        <w:t>he</w:t>
      </w:r>
      <w:r>
        <w:rPr/>
        <w:t> </w:t>
      </w:r>
      <w:r>
        <w:rPr>
          <w:spacing w:val="-8"/>
        </w:rPr>
        <w:t> </w:t>
      </w:r>
      <w:r>
        <w:rPr>
          <w:w w:val="67"/>
        </w:rPr>
        <w:t>E</w:t>
      </w:r>
      <w:r>
        <w:rPr>
          <w:spacing w:val="1"/>
          <w:w w:val="67"/>
        </w:rPr>
        <w:t>R</w:t>
      </w:r>
      <w:r>
        <w:rPr>
          <w:spacing w:val="-3"/>
          <w:w w:val="114"/>
        </w:rPr>
        <w:t>+</w:t>
      </w:r>
      <w:r>
        <w:rPr>
          <w:spacing w:val="1"/>
          <w:w w:val="179"/>
        </w:rPr>
        <w:t>/</w:t>
      </w:r>
      <w:r>
        <w:rPr>
          <w:spacing w:val="-1"/>
          <w:w w:val="83"/>
        </w:rPr>
        <w:t>H</w:t>
      </w:r>
      <w:r>
        <w:rPr>
          <w:w w:val="67"/>
        </w:rPr>
        <w:t>E</w:t>
      </w:r>
      <w:r>
        <w:rPr>
          <w:spacing w:val="1"/>
          <w:w w:val="67"/>
        </w:rPr>
        <w:t>R</w:t>
      </w:r>
      <w:r>
        <w:rPr>
          <w:spacing w:val="-1"/>
          <w:w w:val="99"/>
        </w:rPr>
        <w:t>2</w:t>
      </w:r>
      <w:r>
        <w:rPr>
          <w:w w:val="114"/>
        </w:rPr>
        <w:t>+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99"/>
        </w:rPr>
        <w:t>a</w:t>
      </w:r>
      <w:r>
        <w:rPr>
          <w:w w:val="88"/>
        </w:rPr>
        <w:t>nd </w:t>
      </w:r>
      <w:r>
        <w:rPr>
          <w:w w:val="95"/>
        </w:rPr>
        <w:t>TNBC, the more aggressive breast cancer subtypes. We further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compared the expression levels across PAM50 subtypes to obtain</w:t>
      </w:r>
      <w:r>
        <w:rPr>
          <w:w w:val="95"/>
        </w:rPr>
        <w:t> </w:t>
      </w:r>
      <w:r>
        <w:rPr>
          <w:w w:val="90"/>
        </w:rPr>
        <w:t>unambiguous</w:t>
      </w:r>
      <w:r>
        <w:rPr>
          <w:spacing w:val="1"/>
          <w:w w:val="90"/>
        </w:rPr>
        <w:t> </w:t>
      </w:r>
      <w:r>
        <w:rPr>
          <w:w w:val="90"/>
        </w:rPr>
        <w:t>conclusions.</w:t>
      </w:r>
      <w:r>
        <w:rPr>
          <w:spacing w:val="1"/>
          <w:w w:val="90"/>
        </w:rPr>
        <w:t> </w:t>
      </w:r>
      <w:r>
        <w:rPr>
          <w:w w:val="90"/>
        </w:rPr>
        <w:t>The</w:t>
      </w:r>
      <w:r>
        <w:rPr>
          <w:spacing w:val="1"/>
          <w:w w:val="90"/>
        </w:rPr>
        <w:t> </w:t>
      </w:r>
      <w:r>
        <w:rPr>
          <w:w w:val="90"/>
        </w:rPr>
        <w:t>Kaplan-Meier</w:t>
      </w:r>
      <w:r>
        <w:rPr>
          <w:spacing w:val="1"/>
          <w:w w:val="90"/>
        </w:rPr>
        <w:t> </w:t>
      </w:r>
      <w:r>
        <w:rPr>
          <w:w w:val="90"/>
        </w:rPr>
        <w:t>(KM)</w:t>
      </w:r>
      <w:r>
        <w:rPr>
          <w:spacing w:val="1"/>
          <w:w w:val="90"/>
        </w:rPr>
        <w:t> </w:t>
      </w:r>
      <w:r>
        <w:rPr>
          <w:w w:val="90"/>
        </w:rPr>
        <w:t>analysis</w:t>
      </w:r>
      <w:r>
        <w:rPr>
          <w:spacing w:val="1"/>
          <w:w w:val="90"/>
        </w:rPr>
        <w:t> </w:t>
      </w:r>
      <w:r>
        <w:rPr>
          <w:w w:val="90"/>
        </w:rPr>
        <w:t>was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performed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to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correlate</w:t>
      </w:r>
      <w:r>
        <w:rPr>
          <w:spacing w:val="-2"/>
          <w:w w:val="90"/>
        </w:rPr>
        <w:t> </w:t>
      </w:r>
      <w:r>
        <w:rPr>
          <w:spacing w:val="-1"/>
          <w:w w:val="90"/>
        </w:rPr>
        <w:t>overall</w:t>
      </w:r>
      <w:r>
        <w:rPr>
          <w:spacing w:val="-6"/>
          <w:w w:val="90"/>
        </w:rPr>
        <w:t> </w:t>
      </w:r>
      <w:r>
        <w:rPr>
          <w:w w:val="90"/>
        </w:rPr>
        <w:t>survival</w:t>
      </w:r>
      <w:r>
        <w:rPr>
          <w:spacing w:val="-5"/>
          <w:w w:val="90"/>
        </w:rPr>
        <w:t> </w:t>
      </w:r>
      <w:r>
        <w:rPr>
          <w:w w:val="90"/>
        </w:rPr>
        <w:t>curves</w:t>
      </w:r>
      <w:r>
        <w:rPr>
          <w:spacing w:val="-4"/>
          <w:w w:val="90"/>
        </w:rPr>
        <w:t> </w:t>
      </w:r>
      <w:r>
        <w:rPr>
          <w:w w:val="90"/>
        </w:rPr>
        <w:t>based</w:t>
      </w:r>
      <w:r>
        <w:rPr>
          <w:spacing w:val="-4"/>
          <w:w w:val="90"/>
        </w:rPr>
        <w:t> </w:t>
      </w:r>
      <w:r>
        <w:rPr>
          <w:w w:val="90"/>
        </w:rPr>
        <w:t>on</w:t>
      </w:r>
      <w:r>
        <w:rPr>
          <w:spacing w:val="-4"/>
          <w:w w:val="90"/>
        </w:rPr>
        <w:t> </w:t>
      </w:r>
      <w:r>
        <w:rPr>
          <w:w w:val="90"/>
        </w:rPr>
        <w:t>gene</w:t>
      </w:r>
      <w:r>
        <w:rPr>
          <w:spacing w:val="-4"/>
          <w:w w:val="90"/>
        </w:rPr>
        <w:t> </w:t>
      </w:r>
      <w:r>
        <w:rPr>
          <w:w w:val="90"/>
        </w:rPr>
        <w:t>expression</w:t>
      </w:r>
      <w:r>
        <w:rPr>
          <w:spacing w:val="-41"/>
          <w:w w:val="90"/>
        </w:rPr>
        <w:t> </w:t>
      </w:r>
      <w:r>
        <w:rPr>
          <w:spacing w:val="-1"/>
          <w:w w:val="90"/>
        </w:rPr>
        <w:t>data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using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the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median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as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a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threshold</w:t>
      </w:r>
      <w:r>
        <w:rPr>
          <w:spacing w:val="-6"/>
          <w:w w:val="90"/>
        </w:rPr>
        <w:t> </w:t>
      </w:r>
      <w:r>
        <w:rPr>
          <w:w w:val="90"/>
        </w:rPr>
        <w:t>from</w:t>
      </w:r>
      <w:r>
        <w:rPr>
          <w:spacing w:val="-6"/>
          <w:w w:val="90"/>
        </w:rPr>
        <w:t> </w:t>
      </w:r>
      <w:r>
        <w:rPr>
          <w:w w:val="90"/>
        </w:rPr>
        <w:t>TCGA</w:t>
      </w:r>
      <w:r>
        <w:rPr>
          <w:spacing w:val="-6"/>
          <w:w w:val="90"/>
        </w:rPr>
        <w:t>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METABRIC</w:t>
      </w:r>
      <w:r>
        <w:rPr>
          <w:spacing w:val="-6"/>
          <w:w w:val="90"/>
        </w:rPr>
        <w:t> </w:t>
      </w:r>
      <w:r>
        <w:rPr>
          <w:w w:val="90"/>
        </w:rPr>
        <w:t>breast</w:t>
      </w:r>
      <w:r>
        <w:rPr>
          <w:spacing w:val="-41"/>
          <w:w w:val="90"/>
        </w:rPr>
        <w:t> </w:t>
      </w:r>
      <w:r>
        <w:rPr>
          <w:w w:val="90"/>
        </w:rPr>
        <w:t>carcinoma</w:t>
      </w:r>
      <w:r>
        <w:rPr>
          <w:spacing w:val="1"/>
          <w:w w:val="90"/>
        </w:rPr>
        <w:t> </w:t>
      </w:r>
      <w:r>
        <w:rPr>
          <w:w w:val="90"/>
        </w:rPr>
        <w:t>cohorts.</w:t>
      </w:r>
      <w:r>
        <w:rPr>
          <w:spacing w:val="1"/>
          <w:w w:val="90"/>
        </w:rPr>
        <w:t> </w:t>
      </w:r>
      <w:r>
        <w:rPr>
          <w:w w:val="90"/>
        </w:rPr>
        <w:t>Importantly,</w:t>
      </w:r>
      <w:r>
        <w:rPr>
          <w:spacing w:val="1"/>
          <w:w w:val="90"/>
        </w:rPr>
        <w:t> </w:t>
      </w:r>
      <w:r>
        <w:rPr>
          <w:w w:val="90"/>
        </w:rPr>
        <w:t>analysis</w:t>
      </w:r>
      <w:r>
        <w:rPr>
          <w:spacing w:val="1"/>
          <w:w w:val="90"/>
        </w:rPr>
        <w:t> </w:t>
      </w:r>
      <w:r>
        <w:rPr>
          <w:w w:val="90"/>
        </w:rPr>
        <w:t>done</w:t>
      </w:r>
      <w:r>
        <w:rPr>
          <w:spacing w:val="1"/>
          <w:w w:val="90"/>
        </w:rPr>
        <w:t> </w:t>
      </w:r>
      <w:r>
        <w:rPr>
          <w:w w:val="90"/>
        </w:rPr>
        <w:t>using</w:t>
      </w:r>
      <w:r>
        <w:rPr>
          <w:spacing w:val="1"/>
          <w:w w:val="90"/>
        </w:rPr>
        <w:t> </w:t>
      </w:r>
      <w:r>
        <w:rPr>
          <w:w w:val="90"/>
        </w:rPr>
        <w:t>TCGA-BRCA</w:t>
      </w:r>
      <w:r>
        <w:rPr>
          <w:spacing w:val="1"/>
          <w:w w:val="90"/>
        </w:rPr>
        <w:t> </w:t>
      </w:r>
      <w:r>
        <w:rPr>
          <w:w w:val="90"/>
        </w:rPr>
        <w:t>revealed elevated CBX2 mRNAseq gene expression in breast tumors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than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in</w:t>
      </w:r>
      <w:r>
        <w:rPr>
          <w:spacing w:val="-4"/>
          <w:w w:val="90"/>
        </w:rPr>
        <w:t> </w:t>
      </w:r>
      <w:r>
        <w:rPr>
          <w:spacing w:val="-1"/>
          <w:w w:val="90"/>
        </w:rPr>
        <w:t>normal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tissue.</w:t>
      </w:r>
      <w:r>
        <w:rPr>
          <w:spacing w:val="-4"/>
          <w:w w:val="90"/>
        </w:rPr>
        <w:t> </w:t>
      </w:r>
      <w:r>
        <w:rPr>
          <w:spacing w:val="-1"/>
          <w:w w:val="90"/>
        </w:rPr>
        <w:t>Additionally,</w:t>
      </w:r>
      <w:r>
        <w:rPr>
          <w:spacing w:val="-5"/>
          <w:w w:val="90"/>
        </w:rPr>
        <w:t> </w:t>
      </w:r>
      <w:r>
        <w:rPr>
          <w:w w:val="90"/>
        </w:rPr>
        <w:t>CBX2</w:t>
      </w:r>
      <w:r>
        <w:rPr>
          <w:spacing w:val="-5"/>
          <w:w w:val="90"/>
        </w:rPr>
        <w:t> </w:t>
      </w:r>
      <w:r>
        <w:rPr>
          <w:w w:val="90"/>
        </w:rPr>
        <w:t>mRNA</w:t>
      </w:r>
      <w:r>
        <w:rPr>
          <w:spacing w:val="-5"/>
          <w:w w:val="90"/>
        </w:rPr>
        <w:t> </w:t>
      </w:r>
      <w:r>
        <w:rPr>
          <w:w w:val="90"/>
        </w:rPr>
        <w:t>seq</w:t>
      </w:r>
      <w:r>
        <w:rPr>
          <w:spacing w:val="-5"/>
          <w:w w:val="90"/>
        </w:rPr>
        <w:t> </w:t>
      </w:r>
      <w:r>
        <w:rPr>
          <w:w w:val="90"/>
        </w:rPr>
        <w:t>expression</w:t>
      </w:r>
      <w:r>
        <w:rPr>
          <w:spacing w:val="-4"/>
          <w:w w:val="90"/>
        </w:rPr>
        <w:t> </w:t>
      </w:r>
      <w:r>
        <w:rPr>
          <w:w w:val="90"/>
        </w:rPr>
        <w:t>showed</w:t>
      </w:r>
      <w:r>
        <w:rPr>
          <w:spacing w:val="-41"/>
          <w:w w:val="90"/>
        </w:rPr>
        <w:t> </w:t>
      </w:r>
      <w:r>
        <w:rPr>
          <w:spacing w:val="-1"/>
          <w:w w:val="95"/>
        </w:rPr>
        <w:t>a</w:t>
      </w:r>
      <w:r>
        <w:rPr>
          <w:spacing w:val="-6"/>
          <w:w w:val="95"/>
        </w:rPr>
        <w:t> </w:t>
      </w:r>
      <w:r>
        <w:rPr>
          <w:spacing w:val="-1"/>
          <w:w w:val="95"/>
        </w:rPr>
        <w:t>pattern</w:t>
      </w:r>
      <w:r>
        <w:rPr>
          <w:spacing w:val="36"/>
          <w:w w:val="95"/>
        </w:rPr>
        <w:t> </w:t>
      </w:r>
      <w:r>
        <w:rPr>
          <w:spacing w:val="-1"/>
          <w:w w:val="95"/>
        </w:rPr>
        <w:t>of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TNBC</w:t>
      </w:r>
      <w:r>
        <w:rPr>
          <w:spacing w:val="-6"/>
          <w:w w:val="95"/>
        </w:rPr>
        <w:t> </w:t>
      </w:r>
      <w:r>
        <w:rPr>
          <w:w w:val="95"/>
        </w:rPr>
        <w:t>&gt;</w:t>
      </w:r>
      <w:r>
        <w:rPr>
          <w:spacing w:val="-5"/>
          <w:w w:val="95"/>
        </w:rPr>
        <w:t> </w:t>
      </w:r>
      <w:r>
        <w:rPr>
          <w:w w:val="95"/>
        </w:rPr>
        <w:t>HER2+</w:t>
      </w:r>
      <w:r>
        <w:rPr>
          <w:spacing w:val="-5"/>
          <w:w w:val="95"/>
        </w:rPr>
        <w:t> </w:t>
      </w:r>
      <w:r>
        <w:rPr>
          <w:w w:val="95"/>
        </w:rPr>
        <w:t>&gt;all</w:t>
      </w:r>
      <w:r>
        <w:rPr>
          <w:spacing w:val="-6"/>
          <w:w w:val="95"/>
        </w:rPr>
        <w:t> </w:t>
      </w:r>
      <w:r>
        <w:rPr>
          <w:w w:val="95"/>
        </w:rPr>
        <w:t>tumor</w:t>
      </w:r>
      <w:r>
        <w:rPr>
          <w:spacing w:val="-5"/>
          <w:w w:val="95"/>
        </w:rPr>
        <w:t> </w:t>
      </w:r>
      <w:r>
        <w:rPr>
          <w:w w:val="95"/>
        </w:rPr>
        <w:t>&gt;ER+</w:t>
      </w:r>
      <w:r>
        <w:rPr>
          <w:spacing w:val="-5"/>
          <w:w w:val="95"/>
        </w:rPr>
        <w:t> </w:t>
      </w:r>
      <w:r>
        <w:rPr>
          <w:w w:val="95"/>
        </w:rPr>
        <w:t>&gt;</w:t>
      </w:r>
      <w:r>
        <w:rPr>
          <w:spacing w:val="-5"/>
          <w:w w:val="95"/>
        </w:rPr>
        <w:t> </w:t>
      </w:r>
      <w:r>
        <w:rPr>
          <w:w w:val="95"/>
        </w:rPr>
        <w:t>normal</w:t>
      </w:r>
      <w:r>
        <w:rPr>
          <w:spacing w:val="-5"/>
          <w:w w:val="95"/>
        </w:rPr>
        <w:t> </w:t>
      </w:r>
      <w:r>
        <w:rPr>
          <w:w w:val="95"/>
        </w:rPr>
        <w:t>tissue.</w:t>
      </w:r>
      <w:r>
        <w:rPr>
          <w:spacing w:val="-6"/>
          <w:w w:val="95"/>
        </w:rPr>
        <w:t> </w:t>
      </w:r>
      <w:r>
        <w:rPr>
          <w:w w:val="95"/>
        </w:rPr>
        <w:t>Using</w:t>
      </w:r>
      <w:r>
        <w:rPr>
          <w:spacing w:val="-43"/>
          <w:w w:val="95"/>
        </w:rPr>
        <w:t> </w:t>
      </w:r>
      <w:r>
        <w:rPr>
          <w:w w:val="90"/>
        </w:rPr>
        <w:t>Novartis/Broad Cancer Cell Line Encyclopedia (CCLE) for microarray</w:t>
      </w:r>
      <w:r>
        <w:rPr>
          <w:spacing w:val="1"/>
          <w:w w:val="90"/>
        </w:rPr>
        <w:t> </w:t>
      </w:r>
      <w:r>
        <w:rPr>
          <w:w w:val="90"/>
        </w:rPr>
        <w:t>and RNAseq gene expression profiling, we identified enhanced CBX2</w:t>
      </w:r>
      <w:r>
        <w:rPr>
          <w:spacing w:val="1"/>
          <w:w w:val="90"/>
        </w:rPr>
        <w:t> </w:t>
      </w:r>
      <w:r>
        <w:rPr>
          <w:w w:val="90"/>
        </w:rPr>
        <w:t>mRNA expression in breast cancer cell lines compared to other cancer</w:t>
      </w:r>
      <w:r>
        <w:rPr>
          <w:spacing w:val="1"/>
          <w:w w:val="90"/>
        </w:rPr>
        <w:t> </w:t>
      </w:r>
      <w:r>
        <w:rPr>
          <w:w w:val="90"/>
        </w:rPr>
        <w:t>types.</w:t>
      </w:r>
      <w:r>
        <w:rPr>
          <w:spacing w:val="40"/>
          <w:w w:val="90"/>
        </w:rPr>
        <w:t> </w:t>
      </w:r>
      <w:r>
        <w:rPr>
          <w:w w:val="90"/>
        </w:rPr>
        <w:t>CBX2</w:t>
      </w:r>
      <w:r>
        <w:rPr>
          <w:spacing w:val="40"/>
          <w:w w:val="90"/>
        </w:rPr>
        <w:t> </w:t>
      </w:r>
      <w:r>
        <w:rPr>
          <w:w w:val="90"/>
        </w:rPr>
        <w:t>mRNAseq</w:t>
      </w:r>
      <w:r>
        <w:rPr>
          <w:spacing w:val="40"/>
          <w:w w:val="90"/>
        </w:rPr>
        <w:t> </w:t>
      </w:r>
      <w:r>
        <w:rPr>
          <w:w w:val="90"/>
        </w:rPr>
        <w:t>expression</w:t>
      </w:r>
      <w:r>
        <w:rPr>
          <w:spacing w:val="41"/>
          <w:w w:val="90"/>
        </w:rPr>
        <w:t> </w:t>
      </w:r>
      <w:r>
        <w:rPr>
          <w:w w:val="90"/>
        </w:rPr>
        <w:t>was</w:t>
      </w:r>
      <w:r>
        <w:rPr>
          <w:spacing w:val="41"/>
          <w:w w:val="90"/>
        </w:rPr>
        <w:t> </w:t>
      </w:r>
      <w:r>
        <w:rPr>
          <w:w w:val="90"/>
        </w:rPr>
        <w:t>significantly</w:t>
      </w:r>
      <w:r>
        <w:rPr>
          <w:spacing w:val="42"/>
          <w:w w:val="90"/>
        </w:rPr>
        <w:t> </w:t>
      </w:r>
      <w:r>
        <w:rPr>
          <w:w w:val="90"/>
        </w:rPr>
        <w:t>greater</w:t>
      </w:r>
      <w:r>
        <w:rPr>
          <w:spacing w:val="41"/>
          <w:w w:val="90"/>
        </w:rPr>
        <w:t> </w:t>
      </w:r>
      <w:r>
        <w:rPr>
          <w:w w:val="90"/>
        </w:rPr>
        <w:t>among</w:t>
      </w:r>
      <w:r>
        <w:rPr>
          <w:spacing w:val="-41"/>
          <w:w w:val="90"/>
        </w:rPr>
        <w:t> </w:t>
      </w:r>
      <w:r>
        <w:rPr>
          <w:w w:val="95"/>
        </w:rPr>
        <w:t>HER2+</w:t>
      </w:r>
      <w:r>
        <w:rPr>
          <w:spacing w:val="1"/>
          <w:w w:val="95"/>
        </w:rPr>
        <w:t> </w:t>
      </w:r>
      <w:r>
        <w:rPr>
          <w:w w:val="95"/>
        </w:rPr>
        <w:t>(n=164)</w:t>
      </w:r>
      <w:r>
        <w:rPr>
          <w:spacing w:val="1"/>
          <w:w w:val="95"/>
        </w:rPr>
        <w:t> </w:t>
      </w:r>
      <w:r>
        <w:rPr>
          <w:w w:val="95"/>
        </w:rPr>
        <w:t>compared</w:t>
      </w:r>
      <w:r>
        <w:rPr>
          <w:spacing w:val="1"/>
          <w:w w:val="95"/>
        </w:rPr>
        <w:t> </w:t>
      </w:r>
      <w:r>
        <w:rPr>
          <w:w w:val="95"/>
        </w:rPr>
        <w:t>to</w:t>
      </w:r>
      <w:r>
        <w:rPr>
          <w:spacing w:val="1"/>
          <w:w w:val="95"/>
        </w:rPr>
        <w:t> </w:t>
      </w:r>
      <w:r>
        <w:rPr>
          <w:w w:val="95"/>
        </w:rPr>
        <w:t>normal</w:t>
      </w:r>
      <w:r>
        <w:rPr>
          <w:spacing w:val="1"/>
          <w:w w:val="95"/>
        </w:rPr>
        <w:t> </w:t>
      </w:r>
      <w:r>
        <w:rPr>
          <w:w w:val="95"/>
        </w:rPr>
        <w:t>(n=112)</w:t>
      </w:r>
      <w:r>
        <w:rPr>
          <w:spacing w:val="1"/>
          <w:w w:val="95"/>
        </w:rPr>
        <w:t> </w:t>
      </w:r>
      <w:r>
        <w:rPr>
          <w:w w:val="95"/>
        </w:rPr>
        <w:t>patients</w:t>
      </w:r>
      <w:r>
        <w:rPr>
          <w:spacing w:val="1"/>
          <w:w w:val="95"/>
        </w:rPr>
        <w:t> </w:t>
      </w:r>
      <w:r>
        <w:rPr>
          <w:w w:val="95"/>
        </w:rPr>
        <w:t>(FC=4.9;</w:t>
      </w:r>
      <w:r>
        <w:rPr>
          <w:spacing w:val="-43"/>
          <w:w w:val="95"/>
        </w:rPr>
        <w:t> </w:t>
      </w:r>
      <w:r>
        <w:rPr>
          <w:w w:val="95"/>
        </w:rPr>
        <w:t>p=8.19e-36)</w:t>
      </w:r>
      <w:r>
        <w:rPr>
          <w:spacing w:val="1"/>
          <w:w w:val="95"/>
        </w:rPr>
        <w:t> </w:t>
      </w:r>
      <w:r>
        <w:rPr>
          <w:w w:val="95"/>
        </w:rPr>
        <w:t>and</w:t>
      </w:r>
      <w:r>
        <w:rPr>
          <w:spacing w:val="1"/>
          <w:w w:val="95"/>
        </w:rPr>
        <w:t> </w:t>
      </w:r>
      <w:r>
        <w:rPr>
          <w:w w:val="95"/>
        </w:rPr>
        <w:t>TNBC</w:t>
      </w:r>
      <w:r>
        <w:rPr>
          <w:spacing w:val="1"/>
          <w:w w:val="95"/>
        </w:rPr>
        <w:t> </w:t>
      </w:r>
      <w:r>
        <w:rPr>
          <w:w w:val="95"/>
        </w:rPr>
        <w:t>(n=115;</w:t>
      </w:r>
      <w:r>
        <w:rPr>
          <w:spacing w:val="1"/>
          <w:w w:val="95"/>
        </w:rPr>
        <w:t> </w:t>
      </w:r>
      <w:r>
        <w:rPr>
          <w:w w:val="95"/>
        </w:rPr>
        <w:t>FC=11,</w:t>
      </w:r>
      <w:r>
        <w:rPr>
          <w:spacing w:val="1"/>
          <w:w w:val="95"/>
        </w:rPr>
        <w:t> </w:t>
      </w:r>
      <w:r>
        <w:rPr>
          <w:w w:val="95"/>
        </w:rPr>
        <w:t>p-value=</w:t>
      </w:r>
      <w:r>
        <w:rPr>
          <w:spacing w:val="1"/>
          <w:w w:val="95"/>
        </w:rPr>
        <w:t> </w:t>
      </w:r>
      <w:r>
        <w:rPr>
          <w:w w:val="95"/>
        </w:rPr>
        <w:t>1.27e-6)</w:t>
      </w:r>
      <w:r>
        <w:rPr>
          <w:spacing w:val="1"/>
          <w:w w:val="95"/>
        </w:rPr>
        <w:t> </w:t>
      </w:r>
      <w:r>
        <w:rPr>
          <w:w w:val="95"/>
        </w:rPr>
        <w:t>from</w:t>
      </w:r>
      <w:r>
        <w:rPr>
          <w:spacing w:val="-43"/>
          <w:w w:val="95"/>
        </w:rPr>
        <w:t> </w:t>
      </w:r>
      <w:r>
        <w:rPr>
          <w:w w:val="85"/>
        </w:rPr>
        <w:t>TCGA breast cancer cohort. Additionally, METABRIC cohorts also showed</w:t>
      </w:r>
      <w:r>
        <w:rPr>
          <w:spacing w:val="1"/>
          <w:w w:val="85"/>
        </w:rPr>
        <w:t> </w:t>
      </w:r>
      <w:r>
        <w:rPr>
          <w:w w:val="90"/>
        </w:rPr>
        <w:t>a significant correlation between higher CBX2 mRNA expression and</w:t>
      </w:r>
      <w:r>
        <w:rPr>
          <w:spacing w:val="1"/>
          <w:w w:val="90"/>
        </w:rPr>
        <w:t> </w:t>
      </w:r>
      <w:r>
        <w:rPr>
          <w:w w:val="95"/>
        </w:rPr>
        <w:t>poor overall survival outcome (Kaplan-Meier analysis, n=1904, p-</w:t>
      </w:r>
      <w:r>
        <w:rPr>
          <w:spacing w:val="1"/>
          <w:w w:val="95"/>
        </w:rPr>
        <w:t> </w:t>
      </w:r>
      <w:r>
        <w:rPr>
          <w:w w:val="95"/>
        </w:rPr>
        <w:t>value= 0.0001). Thus, our investigation has identified CBX2 as a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potential driver of HER2+ breast-to-brain metastasis and inhibition </w:t>
      </w:r>
      <w:r>
        <w:rPr>
          <w:w w:val="95"/>
        </w:rPr>
        <w:t>of</w:t>
      </w:r>
      <w:r>
        <w:rPr>
          <w:spacing w:val="-43"/>
          <w:w w:val="95"/>
        </w:rPr>
        <w:t> </w:t>
      </w:r>
      <w:r>
        <w:rPr>
          <w:w w:val="90"/>
        </w:rPr>
        <w:t>CBX2 should be considered as a therapeutic target in breast-to-brain</w:t>
      </w:r>
      <w:r>
        <w:rPr>
          <w:spacing w:val="1"/>
          <w:w w:val="90"/>
        </w:rPr>
        <w:t> </w:t>
      </w:r>
      <w:r>
        <w:rPr/>
        <w:t>metastasis.</w:t>
      </w:r>
    </w:p>
    <w:p>
      <w:pPr>
        <w:pStyle w:val="BodyText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1"/>
        <w:rPr>
          <w:sz w:val="21"/>
        </w:rPr>
      </w:pPr>
    </w:p>
    <w:p>
      <w:pPr>
        <w:pStyle w:val="Heading2"/>
      </w:pPr>
      <w:r>
        <w:rPr>
          <w:color w:val="BE5A13"/>
        </w:rPr>
        <w:t>Recent</w:t>
      </w:r>
      <w:r>
        <w:rPr>
          <w:color w:val="BE5A13"/>
          <w:spacing w:val="-2"/>
        </w:rPr>
        <w:t> </w:t>
      </w:r>
      <w:r>
        <w:rPr>
          <w:color w:val="BE5A13"/>
        </w:rPr>
        <w:t>Publications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5" w:lineRule="auto" w:before="107" w:after="0"/>
        <w:ind w:left="480" w:right="201" w:hanging="284"/>
        <w:jc w:val="both"/>
        <w:rPr>
          <w:sz w:val="18"/>
        </w:rPr>
      </w:pPr>
      <w:r>
        <w:rPr>
          <w:sz w:val="18"/>
        </w:rPr>
        <w:t>Garg, R., Melstrom, L., Chen J., He, C. and Goel A. Targeting FTO</w:t>
      </w:r>
      <w:r>
        <w:rPr>
          <w:spacing w:val="1"/>
          <w:sz w:val="18"/>
        </w:rPr>
        <w:t> </w:t>
      </w:r>
      <w:r>
        <w:rPr>
          <w:sz w:val="18"/>
        </w:rPr>
        <w:t>suppresses</w:t>
      </w:r>
      <w:r>
        <w:rPr>
          <w:spacing w:val="1"/>
          <w:sz w:val="18"/>
        </w:rPr>
        <w:t> </w:t>
      </w:r>
      <w:r>
        <w:rPr>
          <w:sz w:val="18"/>
        </w:rPr>
        <w:t>pancreatic</w:t>
      </w:r>
      <w:r>
        <w:rPr>
          <w:spacing w:val="1"/>
          <w:sz w:val="18"/>
        </w:rPr>
        <w:t> </w:t>
      </w:r>
      <w:r>
        <w:rPr>
          <w:sz w:val="18"/>
        </w:rPr>
        <w:t>carcinogenesis</w:t>
      </w:r>
      <w:r>
        <w:rPr>
          <w:spacing w:val="1"/>
          <w:sz w:val="18"/>
        </w:rPr>
        <w:t> </w:t>
      </w:r>
      <w:r>
        <w:rPr>
          <w:sz w:val="18"/>
        </w:rPr>
        <w:t>via</w:t>
      </w:r>
      <w:r>
        <w:rPr>
          <w:spacing w:val="1"/>
          <w:sz w:val="18"/>
        </w:rPr>
        <w:t> </w:t>
      </w:r>
      <w:r>
        <w:rPr>
          <w:sz w:val="18"/>
        </w:rPr>
        <w:t>regulating</w:t>
      </w:r>
      <w:r>
        <w:rPr>
          <w:spacing w:val="1"/>
          <w:sz w:val="18"/>
        </w:rPr>
        <w:t> </w:t>
      </w:r>
      <w:r>
        <w:rPr>
          <w:sz w:val="18"/>
        </w:rPr>
        <w:t>stem</w:t>
      </w:r>
      <w:r>
        <w:rPr>
          <w:spacing w:val="1"/>
          <w:sz w:val="18"/>
        </w:rPr>
        <w:t> </w:t>
      </w:r>
      <w:r>
        <w:rPr>
          <w:sz w:val="18"/>
        </w:rPr>
        <w:t>cell</w:t>
      </w:r>
      <w:r>
        <w:rPr>
          <w:spacing w:val="1"/>
          <w:sz w:val="18"/>
        </w:rPr>
        <w:t> </w:t>
      </w:r>
      <w:r>
        <w:rPr>
          <w:sz w:val="18"/>
        </w:rPr>
        <w:t>maintenance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EMT pathway.</w:t>
      </w:r>
      <w:r>
        <w:rPr>
          <w:spacing w:val="1"/>
          <w:sz w:val="18"/>
        </w:rPr>
        <w:t> </w:t>
      </w:r>
      <w:r>
        <w:rPr>
          <w:sz w:val="18"/>
        </w:rPr>
        <w:t>Cancers</w:t>
      </w:r>
      <w:r>
        <w:rPr>
          <w:spacing w:val="-2"/>
          <w:sz w:val="18"/>
        </w:rPr>
        <w:t> </w:t>
      </w:r>
      <w:r>
        <w:rPr>
          <w:sz w:val="18"/>
        </w:rPr>
        <w:t>14,</w:t>
      </w:r>
      <w:r>
        <w:rPr>
          <w:spacing w:val="-1"/>
          <w:sz w:val="18"/>
        </w:rPr>
        <w:t> </w:t>
      </w:r>
      <w:r>
        <w:rPr>
          <w:sz w:val="18"/>
        </w:rPr>
        <w:t>5919 (2022).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5" w:lineRule="auto" w:before="105" w:after="0"/>
        <w:ind w:left="480" w:right="195" w:hanging="284"/>
        <w:jc w:val="both"/>
        <w:rPr>
          <w:sz w:val="18"/>
        </w:rPr>
      </w:pPr>
      <w:r>
        <w:rPr>
          <w:sz w:val="18"/>
        </w:rPr>
        <w:t>Garg,</w:t>
      </w:r>
      <w:r>
        <w:rPr>
          <w:spacing w:val="-7"/>
          <w:sz w:val="18"/>
        </w:rPr>
        <w:t> </w:t>
      </w:r>
      <w:r>
        <w:rPr>
          <w:sz w:val="18"/>
        </w:rPr>
        <w:t>R.,</w:t>
      </w:r>
      <w:r>
        <w:rPr>
          <w:spacing w:val="-6"/>
          <w:sz w:val="18"/>
        </w:rPr>
        <w:t> </w:t>
      </w:r>
      <w:r>
        <w:rPr>
          <w:sz w:val="18"/>
        </w:rPr>
        <w:t>Jandial</w:t>
      </w:r>
      <w:r>
        <w:rPr>
          <w:spacing w:val="-8"/>
          <w:sz w:val="18"/>
        </w:rPr>
        <w:t> </w:t>
      </w:r>
      <w:r>
        <w:rPr>
          <w:sz w:val="18"/>
        </w:rPr>
        <w:t>K,</w:t>
      </w:r>
      <w:r>
        <w:rPr>
          <w:spacing w:val="-6"/>
          <w:sz w:val="18"/>
        </w:rPr>
        <w:t> </w:t>
      </w:r>
      <w:r>
        <w:rPr>
          <w:sz w:val="18"/>
        </w:rPr>
        <w:t>Chen</w:t>
      </w:r>
      <w:r>
        <w:rPr>
          <w:spacing w:val="-7"/>
          <w:sz w:val="18"/>
        </w:rPr>
        <w:t> </w:t>
      </w:r>
      <w:r>
        <w:rPr>
          <w:sz w:val="18"/>
        </w:rPr>
        <w:t>M.</w:t>
      </w:r>
      <w:r>
        <w:rPr>
          <w:spacing w:val="-7"/>
          <w:sz w:val="18"/>
        </w:rPr>
        <w:t> </w:t>
      </w:r>
      <w:r>
        <w:rPr>
          <w:sz w:val="18"/>
        </w:rPr>
        <w:t>GM-CSF-</w:t>
      </w:r>
      <w:r>
        <w:rPr>
          <w:spacing w:val="-6"/>
          <w:sz w:val="18"/>
        </w:rPr>
        <w:t> </w:t>
      </w:r>
      <w:r>
        <w:rPr>
          <w:sz w:val="18"/>
        </w:rPr>
        <w:t>an</w:t>
      </w:r>
      <w:r>
        <w:rPr>
          <w:spacing w:val="-7"/>
          <w:sz w:val="18"/>
        </w:rPr>
        <w:t> </w:t>
      </w:r>
      <w:r>
        <w:rPr>
          <w:sz w:val="18"/>
        </w:rPr>
        <w:t>oncogenic</w:t>
      </w:r>
      <w:r>
        <w:rPr>
          <w:spacing w:val="-7"/>
          <w:sz w:val="18"/>
        </w:rPr>
        <w:t> </w:t>
      </w:r>
      <w:r>
        <w:rPr>
          <w:sz w:val="18"/>
        </w:rPr>
        <w:t>driver</w:t>
      </w:r>
      <w:r>
        <w:rPr>
          <w:spacing w:val="-6"/>
          <w:sz w:val="18"/>
        </w:rPr>
        <w:t> </w:t>
      </w:r>
      <w:r>
        <w:rPr>
          <w:sz w:val="18"/>
        </w:rPr>
        <w:t>of</w:t>
      </w:r>
      <w:r>
        <w:rPr>
          <w:spacing w:val="-6"/>
          <w:sz w:val="18"/>
        </w:rPr>
        <w:t> </w:t>
      </w:r>
      <w:r>
        <w:rPr>
          <w:sz w:val="18"/>
        </w:rPr>
        <w:t>HER2+</w:t>
      </w:r>
      <w:r>
        <w:rPr>
          <w:spacing w:val="-39"/>
          <w:sz w:val="18"/>
        </w:rPr>
        <w:t> </w:t>
      </w:r>
      <w:r>
        <w:rPr>
          <w:sz w:val="18"/>
        </w:rPr>
        <w:t>breast</w:t>
      </w:r>
      <w:r>
        <w:rPr>
          <w:spacing w:val="-2"/>
          <w:sz w:val="18"/>
        </w:rPr>
        <w:t> </w:t>
      </w:r>
      <w:r>
        <w:rPr>
          <w:sz w:val="18"/>
        </w:rPr>
        <w:t>leptomeningeal</w:t>
      </w:r>
      <w:r>
        <w:rPr>
          <w:spacing w:val="-2"/>
          <w:sz w:val="18"/>
        </w:rPr>
        <w:t> </w:t>
      </w:r>
      <w:r>
        <w:rPr>
          <w:sz w:val="18"/>
        </w:rPr>
        <w:t>metastasis.</w:t>
      </w:r>
      <w:r>
        <w:rPr>
          <w:spacing w:val="-2"/>
          <w:sz w:val="18"/>
        </w:rPr>
        <w:t> </w:t>
      </w:r>
      <w:r>
        <w:rPr>
          <w:sz w:val="18"/>
        </w:rPr>
        <w:t>Oncoscience</w:t>
      </w:r>
      <w:r>
        <w:rPr>
          <w:spacing w:val="37"/>
          <w:sz w:val="18"/>
        </w:rPr>
        <w:t> </w:t>
      </w:r>
      <w:r>
        <w:rPr>
          <w:sz w:val="18"/>
        </w:rPr>
        <w:t>9:57-59</w:t>
      </w:r>
      <w:r>
        <w:rPr>
          <w:spacing w:val="-1"/>
          <w:sz w:val="18"/>
        </w:rPr>
        <w:t> </w:t>
      </w:r>
      <w:r>
        <w:rPr>
          <w:sz w:val="18"/>
        </w:rPr>
        <w:t>(2022).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5" w:lineRule="auto" w:before="105" w:after="0"/>
        <w:ind w:left="480" w:right="196" w:hanging="284"/>
        <w:jc w:val="both"/>
        <w:rPr>
          <w:sz w:val="18"/>
        </w:rPr>
      </w:pPr>
      <w:r>
        <w:rPr>
          <w:sz w:val="18"/>
        </w:rPr>
        <w:t>Singhal,</w:t>
      </w:r>
      <w:r>
        <w:rPr>
          <w:spacing w:val="-6"/>
          <w:sz w:val="18"/>
        </w:rPr>
        <w:t> </w:t>
      </w:r>
      <w:r>
        <w:rPr>
          <w:sz w:val="18"/>
        </w:rPr>
        <w:t>S.,</w:t>
      </w:r>
      <w:r>
        <w:rPr>
          <w:spacing w:val="-5"/>
          <w:sz w:val="18"/>
        </w:rPr>
        <w:t> </w:t>
      </w:r>
      <w:r>
        <w:rPr>
          <w:sz w:val="18"/>
        </w:rPr>
        <w:t>Horne,</w:t>
      </w:r>
      <w:r>
        <w:rPr>
          <w:spacing w:val="-5"/>
          <w:sz w:val="18"/>
        </w:rPr>
        <w:t> </w:t>
      </w:r>
      <w:r>
        <w:rPr>
          <w:sz w:val="18"/>
        </w:rPr>
        <w:t>D.,</w:t>
      </w:r>
      <w:r>
        <w:rPr>
          <w:spacing w:val="-6"/>
          <w:sz w:val="18"/>
        </w:rPr>
        <w:t> </w:t>
      </w:r>
      <w:r>
        <w:rPr>
          <w:sz w:val="18"/>
        </w:rPr>
        <w:t>Singhal,</w:t>
      </w:r>
      <w:r>
        <w:rPr>
          <w:spacing w:val="-6"/>
          <w:sz w:val="18"/>
        </w:rPr>
        <w:t> </w:t>
      </w:r>
      <w:r>
        <w:rPr>
          <w:sz w:val="18"/>
        </w:rPr>
        <w:t>S.,</w:t>
      </w:r>
      <w:r>
        <w:rPr>
          <w:spacing w:val="-5"/>
          <w:sz w:val="18"/>
        </w:rPr>
        <w:t> </w:t>
      </w:r>
      <w:r>
        <w:rPr>
          <w:sz w:val="18"/>
        </w:rPr>
        <w:t>Awasthi,</w:t>
      </w:r>
      <w:r>
        <w:rPr>
          <w:spacing w:val="-5"/>
          <w:sz w:val="18"/>
        </w:rPr>
        <w:t> </w:t>
      </w:r>
      <w:r>
        <w:rPr>
          <w:sz w:val="18"/>
        </w:rPr>
        <w:t>S.,</w:t>
      </w:r>
      <w:r>
        <w:rPr>
          <w:spacing w:val="-5"/>
          <w:sz w:val="18"/>
        </w:rPr>
        <w:t> </w:t>
      </w:r>
      <w:r>
        <w:rPr>
          <w:sz w:val="18"/>
        </w:rPr>
        <w:t>Garg,</w:t>
      </w:r>
      <w:r>
        <w:rPr>
          <w:spacing w:val="-5"/>
          <w:sz w:val="18"/>
        </w:rPr>
        <w:t> </w:t>
      </w:r>
      <w:r>
        <w:rPr>
          <w:sz w:val="18"/>
        </w:rPr>
        <w:t>R</w:t>
      </w:r>
      <w:r>
        <w:rPr>
          <w:spacing w:val="-5"/>
          <w:sz w:val="18"/>
        </w:rPr>
        <w:t> </w:t>
      </w:r>
      <w:r>
        <w:rPr>
          <w:sz w:val="18"/>
        </w:rPr>
        <w:t>and</w:t>
      </w:r>
      <w:r>
        <w:rPr>
          <w:spacing w:val="-7"/>
          <w:sz w:val="18"/>
        </w:rPr>
        <w:t> </w:t>
      </w:r>
      <w:r>
        <w:rPr>
          <w:sz w:val="18"/>
        </w:rPr>
        <w:t>Salgia,</w:t>
      </w:r>
      <w:r>
        <w:rPr>
          <w:spacing w:val="-5"/>
          <w:sz w:val="18"/>
        </w:rPr>
        <w:t> </w:t>
      </w:r>
      <w:r>
        <w:rPr>
          <w:sz w:val="18"/>
        </w:rPr>
        <w:t>R.</w:t>
      </w:r>
      <w:r>
        <w:rPr>
          <w:spacing w:val="-39"/>
          <w:sz w:val="18"/>
        </w:rPr>
        <w:t> </w:t>
      </w:r>
      <w:r>
        <w:rPr>
          <w:sz w:val="18"/>
        </w:rPr>
        <w:t>RLIP:</w:t>
      </w:r>
      <w:r>
        <w:rPr>
          <w:spacing w:val="1"/>
          <w:sz w:val="18"/>
        </w:rPr>
        <w:t> </w:t>
      </w:r>
      <w:r>
        <w:rPr>
          <w:sz w:val="18"/>
        </w:rPr>
        <w:t>A</w:t>
      </w:r>
      <w:r>
        <w:rPr>
          <w:spacing w:val="1"/>
          <w:sz w:val="18"/>
        </w:rPr>
        <w:t> </w:t>
      </w:r>
      <w:r>
        <w:rPr>
          <w:sz w:val="18"/>
        </w:rPr>
        <w:t>necessary</w:t>
      </w:r>
      <w:r>
        <w:rPr>
          <w:spacing w:val="1"/>
          <w:sz w:val="18"/>
        </w:rPr>
        <w:t> </w:t>
      </w:r>
      <w:r>
        <w:rPr>
          <w:sz w:val="18"/>
        </w:rPr>
        <w:t>transporter</w:t>
      </w:r>
      <w:r>
        <w:rPr>
          <w:spacing w:val="1"/>
          <w:sz w:val="18"/>
        </w:rPr>
        <w:t> </w:t>
      </w:r>
      <w:r>
        <w:rPr>
          <w:sz w:val="18"/>
        </w:rPr>
        <w:t>protein</w:t>
      </w:r>
      <w:r>
        <w:rPr>
          <w:spacing w:val="1"/>
          <w:sz w:val="18"/>
        </w:rPr>
        <w:t> </w:t>
      </w:r>
      <w:r>
        <w:rPr>
          <w:sz w:val="18"/>
        </w:rPr>
        <w:t>for</w:t>
      </w:r>
      <w:r>
        <w:rPr>
          <w:spacing w:val="1"/>
          <w:sz w:val="18"/>
        </w:rPr>
        <w:t> </w:t>
      </w:r>
      <w:r>
        <w:rPr>
          <w:sz w:val="18"/>
        </w:rPr>
        <w:t>translating</w:t>
      </w:r>
      <w:r>
        <w:rPr>
          <w:spacing w:val="1"/>
          <w:sz w:val="18"/>
        </w:rPr>
        <w:t> </w:t>
      </w:r>
      <w:r>
        <w:rPr>
          <w:sz w:val="18"/>
        </w:rPr>
        <w:t>oxidative</w:t>
      </w:r>
      <w:r>
        <w:rPr>
          <w:spacing w:val="-38"/>
          <w:sz w:val="18"/>
        </w:rPr>
        <w:t> </w:t>
      </w:r>
      <w:r>
        <w:rPr>
          <w:sz w:val="18"/>
        </w:rPr>
        <w:t>stress</w:t>
      </w:r>
      <w:r>
        <w:rPr>
          <w:spacing w:val="1"/>
          <w:sz w:val="18"/>
        </w:rPr>
        <w:t> </w:t>
      </w:r>
      <w:r>
        <w:rPr>
          <w:sz w:val="18"/>
        </w:rPr>
        <w:t>into</w:t>
      </w:r>
      <w:r>
        <w:rPr>
          <w:spacing w:val="1"/>
          <w:sz w:val="18"/>
        </w:rPr>
        <w:t> </w:t>
      </w:r>
      <w:r>
        <w:rPr>
          <w:sz w:val="18"/>
        </w:rPr>
        <w:t>pro-obesity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pro-carcinogenic</w:t>
      </w:r>
      <w:r>
        <w:rPr>
          <w:spacing w:val="1"/>
          <w:sz w:val="18"/>
        </w:rPr>
        <w:t> </w:t>
      </w:r>
      <w:r>
        <w:rPr>
          <w:sz w:val="18"/>
        </w:rPr>
        <w:t>signaling.</w:t>
      </w:r>
      <w:r>
        <w:rPr>
          <w:spacing w:val="1"/>
          <w:sz w:val="18"/>
        </w:rPr>
        <w:t> </w:t>
      </w:r>
      <w:r>
        <w:rPr>
          <w:sz w:val="18"/>
        </w:rPr>
        <w:t>BBA</w:t>
      </w:r>
      <w:r>
        <w:rPr>
          <w:spacing w:val="1"/>
          <w:sz w:val="18"/>
        </w:rPr>
        <w:t> </w:t>
      </w:r>
      <w:r>
        <w:rPr>
          <w:sz w:val="18"/>
        </w:rPr>
        <w:t>Reviews</w:t>
      </w:r>
      <w:r>
        <w:rPr>
          <w:spacing w:val="-2"/>
          <w:sz w:val="18"/>
        </w:rPr>
        <w:t> </w:t>
      </w:r>
      <w:r>
        <w:rPr>
          <w:sz w:val="18"/>
        </w:rPr>
        <w:t>on</w:t>
      </w:r>
      <w:r>
        <w:rPr>
          <w:spacing w:val="-1"/>
          <w:sz w:val="18"/>
        </w:rPr>
        <w:t> </w:t>
      </w:r>
      <w:r>
        <w:rPr>
          <w:sz w:val="18"/>
        </w:rPr>
        <w:t>Cancer, 1877:188803</w:t>
      </w:r>
      <w:r>
        <w:rPr>
          <w:spacing w:val="1"/>
          <w:sz w:val="18"/>
        </w:rPr>
        <w:t> </w:t>
      </w:r>
      <w:r>
        <w:rPr>
          <w:sz w:val="18"/>
        </w:rPr>
        <w:t>(2022).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5" w:lineRule="auto" w:before="106" w:after="0"/>
        <w:ind w:left="480" w:right="196" w:hanging="284"/>
        <w:jc w:val="both"/>
        <w:rPr>
          <w:sz w:val="18"/>
        </w:rPr>
      </w:pPr>
      <w:r>
        <w:rPr>
          <w:sz w:val="18"/>
        </w:rPr>
        <w:t>Garg,</w:t>
      </w:r>
      <w:r>
        <w:rPr>
          <w:spacing w:val="-10"/>
          <w:sz w:val="18"/>
        </w:rPr>
        <w:t> </w:t>
      </w:r>
      <w:r>
        <w:rPr>
          <w:sz w:val="18"/>
        </w:rPr>
        <w:t>R.,</w:t>
      </w:r>
      <w:r>
        <w:rPr>
          <w:spacing w:val="-10"/>
          <w:sz w:val="18"/>
        </w:rPr>
        <w:t> </w:t>
      </w:r>
      <w:r>
        <w:rPr>
          <w:sz w:val="18"/>
        </w:rPr>
        <w:t>Cooke,</w:t>
      </w:r>
      <w:r>
        <w:rPr>
          <w:spacing w:val="-9"/>
          <w:sz w:val="18"/>
        </w:rPr>
        <w:t> </w:t>
      </w:r>
      <w:r>
        <w:rPr>
          <w:sz w:val="18"/>
        </w:rPr>
        <w:t>M.,</w:t>
      </w:r>
      <w:r>
        <w:rPr>
          <w:spacing w:val="-10"/>
          <w:sz w:val="18"/>
        </w:rPr>
        <w:t> </w:t>
      </w:r>
      <w:r>
        <w:rPr>
          <w:sz w:val="18"/>
        </w:rPr>
        <w:t>Wang,</w:t>
      </w:r>
      <w:r>
        <w:rPr>
          <w:spacing w:val="-10"/>
          <w:sz w:val="18"/>
        </w:rPr>
        <w:t> </w:t>
      </w:r>
      <w:r>
        <w:rPr>
          <w:sz w:val="18"/>
        </w:rPr>
        <w:t>S.,</w:t>
      </w:r>
      <w:r>
        <w:rPr>
          <w:spacing w:val="-9"/>
          <w:sz w:val="18"/>
        </w:rPr>
        <w:t> </w:t>
      </w:r>
      <w:r>
        <w:rPr>
          <w:sz w:val="18"/>
        </w:rPr>
        <w:t>Benavides,</w:t>
      </w:r>
      <w:r>
        <w:rPr>
          <w:spacing w:val="-10"/>
          <w:sz w:val="18"/>
        </w:rPr>
        <w:t> </w:t>
      </w:r>
      <w:r>
        <w:rPr>
          <w:sz w:val="18"/>
        </w:rPr>
        <w:t>F.,</w:t>
      </w:r>
      <w:r>
        <w:rPr>
          <w:spacing w:val="-10"/>
          <w:sz w:val="18"/>
        </w:rPr>
        <w:t> </w:t>
      </w:r>
      <w:r>
        <w:rPr>
          <w:sz w:val="18"/>
        </w:rPr>
        <w:t>Abba,</w:t>
      </w:r>
      <w:r>
        <w:rPr>
          <w:spacing w:val="-9"/>
          <w:sz w:val="18"/>
        </w:rPr>
        <w:t> </w:t>
      </w:r>
      <w:r>
        <w:rPr>
          <w:sz w:val="18"/>
        </w:rPr>
        <w:t>M.,</w:t>
      </w:r>
      <w:r>
        <w:rPr>
          <w:spacing w:val="-10"/>
          <w:sz w:val="18"/>
        </w:rPr>
        <w:t> </w:t>
      </w:r>
      <w:r>
        <w:rPr>
          <w:sz w:val="18"/>
        </w:rPr>
        <w:t>Cicchini,</w:t>
      </w:r>
      <w:r>
        <w:rPr>
          <w:spacing w:val="-10"/>
          <w:sz w:val="18"/>
        </w:rPr>
        <w:t> </w:t>
      </w:r>
      <w:r>
        <w:rPr>
          <w:sz w:val="18"/>
        </w:rPr>
        <w:t>M.,</w:t>
      </w:r>
      <w:r>
        <w:rPr>
          <w:spacing w:val="-38"/>
          <w:sz w:val="18"/>
        </w:rPr>
        <w:t> </w:t>
      </w:r>
      <w:r>
        <w:rPr>
          <w:sz w:val="18"/>
        </w:rPr>
        <w:t>Feldser, D., and Kazanietz, M.G. Requirement for PKC epsilon in</w:t>
      </w:r>
      <w:r>
        <w:rPr>
          <w:spacing w:val="1"/>
          <w:sz w:val="18"/>
        </w:rPr>
        <w:t> </w:t>
      </w:r>
      <w:r>
        <w:rPr>
          <w:sz w:val="18"/>
        </w:rPr>
        <w:t>KRAS-driven lung tumorigenesis. Cancer Research, 80:5166-5173</w:t>
      </w:r>
      <w:r>
        <w:rPr>
          <w:spacing w:val="1"/>
          <w:sz w:val="18"/>
        </w:rPr>
        <w:t> </w:t>
      </w:r>
      <w:r>
        <w:rPr>
          <w:sz w:val="18"/>
        </w:rPr>
        <w:t>(2020).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5" w:lineRule="auto" w:before="94" w:after="0"/>
        <w:ind w:left="480" w:right="194" w:hanging="284"/>
        <w:jc w:val="both"/>
        <w:rPr>
          <w:sz w:val="18"/>
        </w:rPr>
      </w:pPr>
      <w:r>
        <w:rPr>
          <w:sz w:val="18"/>
        </w:rPr>
        <w:t>20.</w:t>
      </w:r>
      <w:r>
        <w:rPr>
          <w:spacing w:val="1"/>
          <w:sz w:val="18"/>
        </w:rPr>
        <w:t> </w:t>
      </w:r>
      <w:r>
        <w:rPr>
          <w:sz w:val="18"/>
        </w:rPr>
        <w:t>Dubey, S., and Garg, R. miRNAS: In the domain of cancer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chemoresistance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and</w:t>
      </w:r>
      <w:r>
        <w:rPr>
          <w:spacing w:val="-9"/>
          <w:sz w:val="18"/>
        </w:rPr>
        <w:t> </w:t>
      </w:r>
      <w:r>
        <w:rPr>
          <w:sz w:val="18"/>
        </w:rPr>
        <w:t>stem</w:t>
      </w:r>
      <w:r>
        <w:rPr>
          <w:spacing w:val="-8"/>
          <w:sz w:val="18"/>
        </w:rPr>
        <w:t> </w:t>
      </w:r>
      <w:r>
        <w:rPr>
          <w:sz w:val="18"/>
        </w:rPr>
        <w:t>cells.</w:t>
      </w:r>
      <w:r>
        <w:rPr>
          <w:spacing w:val="-6"/>
          <w:sz w:val="18"/>
        </w:rPr>
        <w:t> </w:t>
      </w:r>
      <w:r>
        <w:rPr>
          <w:sz w:val="18"/>
        </w:rPr>
        <w:t>Acta</w:t>
      </w:r>
      <w:r>
        <w:rPr>
          <w:spacing w:val="-9"/>
          <w:sz w:val="18"/>
        </w:rPr>
        <w:t> </w:t>
      </w:r>
      <w:r>
        <w:rPr>
          <w:sz w:val="18"/>
        </w:rPr>
        <w:t>scientific</w:t>
      </w:r>
      <w:r>
        <w:rPr>
          <w:spacing w:val="-8"/>
          <w:sz w:val="18"/>
        </w:rPr>
        <w:t> </w:t>
      </w:r>
      <w:r>
        <w:rPr>
          <w:sz w:val="18"/>
        </w:rPr>
        <w:t>cancer</w:t>
      </w:r>
      <w:r>
        <w:rPr>
          <w:spacing w:val="-9"/>
          <w:sz w:val="18"/>
        </w:rPr>
        <w:t> </w:t>
      </w:r>
      <w:r>
        <w:rPr>
          <w:sz w:val="18"/>
        </w:rPr>
        <w:t>biology,</w:t>
      </w:r>
      <w:r>
        <w:rPr>
          <w:spacing w:val="-8"/>
          <w:sz w:val="18"/>
        </w:rPr>
        <w:t> </w:t>
      </w:r>
      <w:r>
        <w:rPr>
          <w:sz w:val="18"/>
        </w:rPr>
        <w:t>4.2:</w:t>
      </w:r>
      <w:r>
        <w:rPr>
          <w:spacing w:val="-38"/>
          <w:sz w:val="18"/>
        </w:rPr>
        <w:t> </w:t>
      </w:r>
      <w:r>
        <w:rPr>
          <w:sz w:val="18"/>
        </w:rPr>
        <w:t>01-03</w:t>
      </w:r>
      <w:r>
        <w:rPr>
          <w:spacing w:val="-1"/>
          <w:sz w:val="18"/>
        </w:rPr>
        <w:t> </w:t>
      </w:r>
      <w:r>
        <w:rPr>
          <w:sz w:val="18"/>
        </w:rPr>
        <w:t>(2020)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18" w:lineRule="exact" w:before="87" w:after="0"/>
        <w:ind w:left="480" w:right="0" w:hanging="285"/>
        <w:jc w:val="both"/>
        <w:rPr>
          <w:sz w:val="18"/>
        </w:rPr>
      </w:pPr>
      <w:r>
        <w:rPr>
          <w:sz w:val="18"/>
        </w:rPr>
        <w:t>Garg,</w:t>
      </w:r>
      <w:r>
        <w:rPr>
          <w:spacing w:val="7"/>
          <w:sz w:val="18"/>
        </w:rPr>
        <w:t> </w:t>
      </w:r>
      <w:r>
        <w:rPr>
          <w:sz w:val="18"/>
        </w:rPr>
        <w:t>R.,</w:t>
      </w:r>
      <w:r>
        <w:rPr>
          <w:spacing w:val="8"/>
          <w:sz w:val="18"/>
        </w:rPr>
        <w:t> </w:t>
      </w:r>
      <w:r>
        <w:rPr>
          <w:sz w:val="18"/>
        </w:rPr>
        <w:t>Lal,</w:t>
      </w:r>
      <w:r>
        <w:rPr>
          <w:spacing w:val="7"/>
          <w:sz w:val="18"/>
        </w:rPr>
        <w:t> </w:t>
      </w:r>
      <w:r>
        <w:rPr>
          <w:sz w:val="18"/>
        </w:rPr>
        <w:t>P.,</w:t>
      </w:r>
      <w:r>
        <w:rPr>
          <w:spacing w:val="5"/>
          <w:sz w:val="18"/>
        </w:rPr>
        <w:t> </w:t>
      </w:r>
      <w:r>
        <w:rPr>
          <w:sz w:val="18"/>
        </w:rPr>
        <w:t>Blando,</w:t>
      </w:r>
      <w:r>
        <w:rPr>
          <w:spacing w:val="7"/>
          <w:sz w:val="18"/>
        </w:rPr>
        <w:t> </w:t>
      </w:r>
      <w:r>
        <w:rPr>
          <w:sz w:val="18"/>
        </w:rPr>
        <w:t>J.,</w:t>
      </w:r>
      <w:r>
        <w:rPr>
          <w:spacing w:val="9"/>
          <w:sz w:val="18"/>
        </w:rPr>
        <w:t> </w:t>
      </w:r>
      <w:r>
        <w:rPr>
          <w:sz w:val="18"/>
        </w:rPr>
        <w:t>Benavides,</w:t>
      </w:r>
      <w:r>
        <w:rPr>
          <w:spacing w:val="7"/>
          <w:sz w:val="18"/>
        </w:rPr>
        <w:t> </w:t>
      </w:r>
      <w:r>
        <w:rPr>
          <w:sz w:val="18"/>
        </w:rPr>
        <w:t>F.,</w:t>
      </w:r>
      <w:r>
        <w:rPr>
          <w:spacing w:val="8"/>
          <w:sz w:val="18"/>
        </w:rPr>
        <w:t> </w:t>
      </w:r>
      <w:r>
        <w:rPr>
          <w:sz w:val="18"/>
        </w:rPr>
        <w:t>Feldman,</w:t>
      </w:r>
      <w:r>
        <w:rPr>
          <w:spacing w:val="7"/>
          <w:sz w:val="18"/>
        </w:rPr>
        <w:t> </w:t>
      </w:r>
      <w:r>
        <w:rPr>
          <w:sz w:val="18"/>
        </w:rPr>
        <w:t>M.</w:t>
      </w:r>
      <w:r>
        <w:rPr>
          <w:spacing w:val="7"/>
          <w:sz w:val="18"/>
        </w:rPr>
        <w:t> </w:t>
      </w:r>
      <w:r>
        <w:rPr>
          <w:sz w:val="18"/>
        </w:rPr>
        <w:t>D.,</w:t>
      </w:r>
      <w:r>
        <w:rPr>
          <w:spacing w:val="8"/>
          <w:sz w:val="18"/>
        </w:rPr>
        <w:t> </w:t>
      </w:r>
      <w:r>
        <w:rPr>
          <w:sz w:val="18"/>
        </w:rPr>
        <w:t>Smyth,</w:t>
      </w:r>
    </w:p>
    <w:p>
      <w:pPr>
        <w:pStyle w:val="BodyText"/>
        <w:spacing w:line="235" w:lineRule="auto" w:before="2"/>
        <w:ind w:left="480" w:right="195"/>
        <w:jc w:val="both"/>
        <w:rPr>
          <w:rFonts w:ascii="Calibri" w:hAnsi="Calibri"/>
        </w:rPr>
      </w:pPr>
      <w:r>
        <w:rPr>
          <w:rFonts w:ascii="Calibri" w:hAnsi="Calibri"/>
        </w:rPr>
        <w:t>E.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M.,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and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Kazanietz,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M.G.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COX-2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mediates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pro-tumorigenic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effects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of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PKCε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in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prostate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cancer.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Oncogene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37:4735-4749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(2018).</w:t>
      </w:r>
    </w:p>
    <w:p>
      <w:pPr>
        <w:spacing w:after="0" w:line="235" w:lineRule="auto"/>
        <w:jc w:val="both"/>
        <w:rPr>
          <w:rFonts w:ascii="Calibri" w:hAnsi="Calibri"/>
        </w:rPr>
        <w:sectPr>
          <w:type w:val="continuous"/>
          <w:pgSz w:w="11920" w:h="16850"/>
          <w:pgMar w:top="920" w:bottom="280" w:left="500" w:right="540"/>
          <w:cols w:num="2" w:equalWidth="0">
            <w:col w:w="5337" w:space="40"/>
            <w:col w:w="5503"/>
          </w:cols>
        </w:sectPr>
      </w:pPr>
    </w:p>
    <w:p>
      <w:pPr>
        <w:pStyle w:val="BodyText"/>
        <w:spacing w:before="4"/>
        <w:rPr>
          <w:rFonts w:ascii="Calibri"/>
          <w:sz w:val="20"/>
        </w:rPr>
      </w:pPr>
    </w:p>
    <w:p>
      <w:pPr>
        <w:pStyle w:val="BodyText"/>
        <w:spacing w:line="40" w:lineRule="exact"/>
        <w:ind w:left="2324"/>
        <w:rPr>
          <w:rFonts w:ascii="Calibri"/>
          <w:sz w:val="4"/>
        </w:rPr>
      </w:pPr>
      <w:r>
        <w:rPr>
          <w:rFonts w:ascii="Calibri"/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rFonts w:ascii="Calibri"/>
          <w:position w:val="0"/>
          <w:sz w:val="4"/>
        </w:rPr>
      </w:r>
    </w:p>
    <w:p>
      <w:pPr>
        <w:pStyle w:val="BodyText"/>
        <w:spacing w:before="8"/>
        <w:rPr>
          <w:rFonts w:ascii="Calibri"/>
          <w:sz w:val="11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508000</wp:posOffset>
            </wp:positionH>
            <wp:positionV relativeFrom="paragraph">
              <wp:posOffset>130175</wp:posOffset>
            </wp:positionV>
            <wp:extent cx="660082" cy="660082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082" cy="6600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5612129</wp:posOffset>
            </wp:positionH>
            <wp:positionV relativeFrom="paragraph">
              <wp:posOffset>115570</wp:posOffset>
            </wp:positionV>
            <wp:extent cx="1540182" cy="670560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0182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60"/>
        <w:ind w:left="119" w:right="0" w:firstLine="0"/>
        <w:jc w:val="left"/>
        <w:rPr>
          <w:rFonts w:ascii="Arial MT"/>
          <w:sz w:val="22"/>
        </w:rPr>
      </w:pPr>
      <w:r>
        <w:rPr>
          <w:rFonts w:ascii="Arial MT"/>
          <w:color w:val="BE5A13"/>
          <w:sz w:val="22"/>
        </w:rPr>
        <w:t>Biography</w:t>
      </w:r>
    </w:p>
    <w:p>
      <w:pPr>
        <w:spacing w:before="63"/>
        <w:ind w:left="119" w:right="127" w:firstLine="0"/>
        <w:jc w:val="both"/>
        <w:rPr>
          <w:rFonts w:ascii="Arial MT"/>
          <w:sz w:val="14"/>
        </w:rPr>
      </w:pPr>
      <w:r>
        <w:rPr>
          <w:rFonts w:ascii="Arial MT"/>
          <w:sz w:val="14"/>
        </w:rPr>
        <w:t>I,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Rachana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Garg,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have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been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DoD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postdoctoral</w:t>
      </w:r>
      <w:r>
        <w:rPr>
          <w:rFonts w:ascii="Arial MT"/>
          <w:spacing w:val="-4"/>
          <w:sz w:val="14"/>
        </w:rPr>
        <w:t> </w:t>
      </w:r>
      <w:r>
        <w:rPr>
          <w:rFonts w:ascii="Arial MT"/>
          <w:sz w:val="14"/>
        </w:rPr>
        <w:t>fellow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Research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Associate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Scientist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at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the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University</w:t>
      </w:r>
      <w:r>
        <w:rPr>
          <w:rFonts w:ascii="Arial MT"/>
          <w:spacing w:val="-4"/>
          <w:sz w:val="14"/>
        </w:rPr>
        <w:t> </w:t>
      </w:r>
      <w:r>
        <w:rPr>
          <w:rFonts w:ascii="Arial MT"/>
          <w:sz w:val="14"/>
        </w:rPr>
        <w:t>of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Pennsylvania,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USA.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Currently,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I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work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as</w:t>
      </w:r>
      <w:r>
        <w:rPr>
          <w:rFonts w:ascii="Arial MT"/>
          <w:spacing w:val="-4"/>
          <w:sz w:val="14"/>
        </w:rPr>
        <w:t> </w:t>
      </w:r>
      <w:r>
        <w:rPr>
          <w:rFonts w:ascii="Arial MT"/>
          <w:sz w:val="14"/>
        </w:rPr>
        <w:t>a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Staff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Scientist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with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City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of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Hope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National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Medical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Centre,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Duarte,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California,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USA.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My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experience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spans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the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field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of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z w:val="14"/>
        </w:rPr>
        <w:t>cancer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biology,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neuroscience,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clinical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research,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drug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discovery,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chemoprevention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cellular and molecular biology, biochemistry, immunology, epigenetics. During my academic career, I have received multiple awards at international conferences, and my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research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z w:val="14"/>
        </w:rPr>
        <w:t>has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z w:val="14"/>
        </w:rPr>
        <w:t>been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published</w:t>
      </w:r>
      <w:r>
        <w:rPr>
          <w:rFonts w:ascii="Arial MT"/>
          <w:spacing w:val="-9"/>
          <w:sz w:val="14"/>
        </w:rPr>
        <w:t> </w:t>
      </w:r>
      <w:r>
        <w:rPr>
          <w:rFonts w:ascii="Arial MT"/>
          <w:sz w:val="14"/>
        </w:rPr>
        <w:t>in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top</w:t>
      </w:r>
      <w:r>
        <w:rPr>
          <w:rFonts w:ascii="Arial MT"/>
          <w:spacing w:val="-9"/>
          <w:sz w:val="14"/>
        </w:rPr>
        <w:t> </w:t>
      </w:r>
      <w:r>
        <w:rPr>
          <w:rFonts w:ascii="Arial MT"/>
          <w:sz w:val="14"/>
        </w:rPr>
        <w:t>journals: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Cancer</w:t>
      </w:r>
      <w:r>
        <w:rPr>
          <w:rFonts w:ascii="Arial MT"/>
          <w:spacing w:val="-10"/>
          <w:sz w:val="14"/>
        </w:rPr>
        <w:t> </w:t>
      </w:r>
      <w:r>
        <w:rPr>
          <w:rFonts w:ascii="Arial MT"/>
          <w:sz w:val="14"/>
        </w:rPr>
        <w:t>Research,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Cell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z w:val="14"/>
        </w:rPr>
        <w:t>Reports,</w:t>
      </w:r>
      <w:r>
        <w:rPr>
          <w:rFonts w:ascii="Arial MT"/>
          <w:spacing w:val="-9"/>
          <w:sz w:val="14"/>
        </w:rPr>
        <w:t> </w:t>
      </w:r>
      <w:r>
        <w:rPr>
          <w:rFonts w:ascii="Arial MT"/>
          <w:sz w:val="14"/>
        </w:rPr>
        <w:t>Oncogene,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Carcinogenesis,</w:t>
      </w:r>
      <w:r>
        <w:rPr>
          <w:rFonts w:ascii="Arial MT"/>
          <w:spacing w:val="-9"/>
          <w:sz w:val="14"/>
        </w:rPr>
        <w:t> </w:t>
      </w:r>
      <w:r>
        <w:rPr>
          <w:rFonts w:ascii="Arial MT"/>
          <w:sz w:val="14"/>
        </w:rPr>
        <w:t>Oncotarget,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Journal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of Biological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z w:val="14"/>
        </w:rPr>
        <w:t>Chemistry,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Frontiers</w:t>
      </w:r>
      <w:r>
        <w:rPr>
          <w:rFonts w:ascii="Arial MT"/>
          <w:spacing w:val="-9"/>
          <w:sz w:val="14"/>
        </w:rPr>
        <w:t> </w:t>
      </w:r>
      <w:r>
        <w:rPr>
          <w:rFonts w:ascii="Arial MT"/>
          <w:sz w:val="14"/>
        </w:rPr>
        <w:t>in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Oncology,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BBA Reviews in Cancer (1179 citations, H-index 14, &amp; I-10 index 15). In addition to my passion and involvement in teaching, research, and scholarship activities, I have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mastered excellent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communication,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organizational,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interpersonal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skills.</w:t>
      </w:r>
    </w:p>
    <w:p>
      <w:pPr>
        <w:spacing w:before="61"/>
        <w:ind w:left="157" w:right="0" w:firstLine="0"/>
        <w:jc w:val="both"/>
        <w:rPr>
          <w:rFonts w:ascii="Arial MT"/>
          <w:sz w:val="14"/>
        </w:rPr>
      </w:pPr>
      <w:r>
        <w:rPr>
          <w:rFonts w:ascii="Arial"/>
          <w:b/>
          <w:color w:val="E26C09"/>
          <w:sz w:val="14"/>
        </w:rPr>
        <w:t>Email:</w:t>
      </w:r>
      <w:r>
        <w:rPr>
          <w:rFonts w:ascii="Arial"/>
          <w:b/>
          <w:color w:val="E26C09"/>
          <w:spacing w:val="-5"/>
          <w:sz w:val="14"/>
        </w:rPr>
        <w:t> </w:t>
      </w:r>
      <w:hyperlink r:id="rId7">
        <w:r>
          <w:rPr>
            <w:rFonts w:ascii="Arial MT"/>
            <w:color w:val="0000FF"/>
            <w:sz w:val="14"/>
          </w:rPr>
          <w:t>rgarg@coh.org</w:t>
        </w:r>
      </w:hyperlink>
    </w:p>
    <w:p>
      <w:pPr>
        <w:pStyle w:val="BodyText"/>
        <w:spacing w:line="20" w:lineRule="exact"/>
        <w:ind w:left="616"/>
        <w:rPr>
          <w:rFonts w:ascii="Arial MT"/>
          <w:sz w:val="2"/>
        </w:rPr>
      </w:pPr>
      <w:r>
        <w:rPr>
          <w:rFonts w:ascii="Arial MT"/>
          <w:sz w:val="2"/>
        </w:rPr>
        <w:pict>
          <v:group style="width:46.8pt;height:.5pt;mso-position-horizontal-relative:char;mso-position-vertical-relative:line" coordorigin="0,0" coordsize="936,10">
            <v:rect style="position:absolute;left:0;top:0;width:936;height:10" filled="true" fillcolor="#0000ff" stroked="false">
              <v:fill type="solid"/>
            </v:rect>
          </v:group>
        </w:pict>
      </w:r>
      <w:r>
        <w:rPr>
          <w:rFonts w:ascii="Arial MT"/>
          <w:sz w:val="2"/>
        </w:rPr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7"/>
        <w:rPr>
          <w:rFonts w:ascii="Arial MT"/>
          <w:sz w:val="16"/>
        </w:rPr>
      </w:pPr>
      <w:r>
        <w:rPr/>
        <w:pict>
          <v:shape style="position:absolute;margin-left:162.100006pt;margin-top:11.749219pt;width:271.05pt;height:.1pt;mso-position-horizontal-relative:page;mso-position-vertical-relative:paragraph;z-index:-15726592;mso-wrap-distance-left:0;mso-wrap-distance-right:0" coordorigin="3242,235" coordsize="5421,0" path="m3242,235l8663,235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spacing w:after="0"/>
        <w:rPr>
          <w:rFonts w:ascii="Arial MT"/>
          <w:sz w:val="16"/>
        </w:rPr>
        <w:sectPr>
          <w:type w:val="continuous"/>
          <w:pgSz w:w="11920" w:h="16850"/>
          <w:pgMar w:top="920" w:bottom="280" w:left="500" w:right="540"/>
        </w:sectPr>
      </w:pPr>
    </w:p>
    <w:p>
      <w:pPr>
        <w:spacing w:line="248" w:lineRule="exact" w:before="63"/>
        <w:ind w:left="100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w w:val="85"/>
          <w:sz w:val="22"/>
        </w:rPr>
        <w:t>Presenting</w:t>
      </w:r>
      <w:r>
        <w:rPr>
          <w:rFonts w:ascii="Arial"/>
          <w:b/>
          <w:spacing w:val="9"/>
          <w:w w:val="85"/>
          <w:sz w:val="22"/>
        </w:rPr>
        <w:t> </w:t>
      </w:r>
      <w:r>
        <w:rPr>
          <w:rFonts w:ascii="Arial"/>
          <w:b/>
          <w:w w:val="85"/>
          <w:sz w:val="22"/>
        </w:rPr>
        <w:t>author</w:t>
      </w:r>
      <w:r>
        <w:rPr>
          <w:rFonts w:ascii="Arial"/>
          <w:b/>
          <w:spacing w:val="12"/>
          <w:w w:val="85"/>
          <w:sz w:val="22"/>
        </w:rPr>
        <w:t> </w:t>
      </w:r>
      <w:r>
        <w:rPr>
          <w:rFonts w:ascii="Arial"/>
          <w:b/>
          <w:w w:val="85"/>
          <w:sz w:val="22"/>
        </w:rPr>
        <w:t>details</w:t>
      </w:r>
    </w:p>
    <w:p>
      <w:pPr>
        <w:pStyle w:val="Heading1"/>
        <w:spacing w:line="239" w:lineRule="exact"/>
      </w:pPr>
      <w:r>
        <w:rPr>
          <w:spacing w:val="-1"/>
          <w:w w:val="90"/>
        </w:rPr>
        <w:t>Full</w:t>
      </w:r>
      <w:r>
        <w:rPr>
          <w:spacing w:val="-7"/>
          <w:w w:val="90"/>
        </w:rPr>
        <w:t> </w:t>
      </w:r>
      <w:r>
        <w:rPr>
          <w:spacing w:val="-1"/>
          <w:w w:val="90"/>
        </w:rPr>
        <w:t>name:</w:t>
      </w:r>
      <w:r>
        <w:rPr>
          <w:spacing w:val="-7"/>
          <w:w w:val="90"/>
        </w:rPr>
        <w:t> </w:t>
      </w:r>
      <w:r>
        <w:rPr>
          <w:spacing w:val="-1"/>
          <w:w w:val="90"/>
        </w:rPr>
        <w:t>Rachana</w:t>
      </w:r>
      <w:r>
        <w:rPr>
          <w:spacing w:val="-5"/>
          <w:w w:val="90"/>
        </w:rPr>
        <w:t> </w:t>
      </w:r>
      <w:r>
        <w:rPr>
          <w:w w:val="90"/>
        </w:rPr>
        <w:t>Garg</w:t>
      </w:r>
    </w:p>
    <w:p>
      <w:pPr>
        <w:spacing w:line="230" w:lineRule="auto" w:before="3"/>
        <w:ind w:left="100" w:right="5885" w:firstLine="0"/>
        <w:jc w:val="left"/>
        <w:rPr>
          <w:sz w:val="22"/>
        </w:rPr>
      </w:pPr>
      <w:r>
        <w:rPr>
          <w:spacing w:val="-1"/>
          <w:w w:val="95"/>
          <w:sz w:val="22"/>
        </w:rPr>
        <w:t>Contact</w:t>
      </w:r>
      <w:r>
        <w:rPr>
          <w:spacing w:val="-10"/>
          <w:w w:val="95"/>
          <w:sz w:val="22"/>
        </w:rPr>
        <w:t> </w:t>
      </w:r>
      <w:r>
        <w:rPr>
          <w:spacing w:val="-1"/>
          <w:w w:val="95"/>
          <w:sz w:val="22"/>
        </w:rPr>
        <w:t>number:</w:t>
      </w:r>
      <w:r>
        <w:rPr>
          <w:spacing w:val="-9"/>
          <w:w w:val="95"/>
          <w:sz w:val="22"/>
        </w:rPr>
        <w:t> </w:t>
      </w:r>
      <w:r>
        <w:rPr>
          <w:w w:val="95"/>
          <w:sz w:val="22"/>
        </w:rPr>
        <w:t>+1-626-545-3446</w:t>
      </w:r>
      <w:r>
        <w:rPr>
          <w:spacing w:val="-52"/>
          <w:w w:val="95"/>
          <w:sz w:val="22"/>
        </w:rPr>
        <w:t> </w:t>
      </w:r>
      <w:r>
        <w:rPr>
          <w:sz w:val="22"/>
        </w:rPr>
        <w:t>Mail</w:t>
      </w:r>
      <w:r>
        <w:rPr>
          <w:spacing w:val="-7"/>
          <w:sz w:val="22"/>
        </w:rPr>
        <w:t> </w:t>
      </w:r>
      <w:r>
        <w:rPr>
          <w:sz w:val="22"/>
        </w:rPr>
        <w:t>id:</w:t>
      </w:r>
      <w:r>
        <w:rPr>
          <w:spacing w:val="48"/>
          <w:sz w:val="22"/>
        </w:rPr>
        <w:t> </w:t>
      </w:r>
      <w:hyperlink r:id="rId7">
        <w:r>
          <w:rPr>
            <w:sz w:val="22"/>
          </w:rPr>
          <w:t>rgarg@coh.org</w:t>
        </w:r>
      </w:hyperlink>
    </w:p>
    <w:p>
      <w:pPr>
        <w:pStyle w:val="Heading1"/>
        <w:spacing w:line="243" w:lineRule="exact"/>
      </w:pPr>
      <w:r>
        <w:rPr>
          <w:w w:val="90"/>
        </w:rPr>
        <w:t>Category:</w:t>
      </w:r>
      <w:r>
        <w:rPr>
          <w:spacing w:val="-2"/>
          <w:w w:val="90"/>
        </w:rPr>
        <w:t> </w:t>
      </w:r>
      <w:r>
        <w:rPr>
          <w:w w:val="90"/>
        </w:rPr>
        <w:t>Poster</w:t>
      </w:r>
      <w:r>
        <w:rPr>
          <w:spacing w:val="-1"/>
          <w:w w:val="90"/>
        </w:rPr>
        <w:t> </w:t>
      </w:r>
      <w:r>
        <w:rPr>
          <w:w w:val="90"/>
        </w:rPr>
        <w:t>presentation</w:t>
      </w:r>
    </w:p>
    <w:sectPr>
      <w:pgSz w:w="12240" w:h="15840"/>
      <w:pgMar w:top="1360" w:bottom="280" w:left="134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Impact">
    <w:altName w:val="Impact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80" w:hanging="284"/>
        <w:jc w:val="left"/>
      </w:pPr>
      <w:rPr>
        <w:rFonts w:hint="default" w:ascii="Calibri" w:hAnsi="Calibri" w:eastAsia="Calibri" w:cs="Calibri"/>
        <w:spacing w:val="-17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1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2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84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85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87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88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0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91" w:hanging="28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Microsoft Sans Serif" w:hAnsi="Microsoft Sans Serif" w:eastAsia="Microsoft Sans Serif" w:cs="Microsoft Sans Serif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6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1"/>
      <w:ind w:left="220"/>
    </w:pPr>
    <w:rPr>
      <w:rFonts w:ascii="Cambria Math" w:hAnsi="Cambria Math" w:eastAsia="Cambria Math" w:cs="Cambria Math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5"/>
      <w:ind w:left="480" w:right="196" w:hanging="284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rgarg@coh.org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2023-04-29T06:35:07Z</dcterms:created>
  <dcterms:modified xsi:type="dcterms:W3CDTF">2023-04-29T06:35:07Z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2023-04-29T00:00:00Z</vt:filetime>
  </property>
</Properties>
</file>