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19ABB7" w14:textId="2CA70945" w:rsidR="00AE3E37" w:rsidRDefault="001E3C34" w:rsidP="000534A1">
      <w:pPr>
        <w:pStyle w:val="Heading1"/>
        <w:spacing w:before="170"/>
        <w:ind w:left="0"/>
        <w:jc w:val="both"/>
      </w:pPr>
      <w:bookmarkStart w:id="0" w:name="_GoBack"/>
      <w:bookmarkEnd w:id="0"/>
      <w:r w:rsidRPr="001E3C34">
        <w:rPr>
          <w:color w:val="337AB7"/>
        </w:rPr>
        <w:t>Glycemic and lipid profile of patients with COVID-19: Impact on morbidity and mortality</w:t>
      </w:r>
    </w:p>
    <w:p w14:paraId="598D1879" w14:textId="1FC7DA03" w:rsidR="001E3C34" w:rsidRDefault="001E3C34" w:rsidP="005973B9">
      <w:pPr>
        <w:pStyle w:val="BodyText"/>
        <w:spacing w:before="73" w:line="198" w:lineRule="exact"/>
        <w:ind w:left="100" w:right="5987"/>
        <w:rPr>
          <w:rFonts w:ascii="Arial"/>
        </w:rPr>
      </w:pPr>
      <w:r>
        <w:rPr>
          <w:rFonts w:ascii="Arial"/>
        </w:rPr>
        <w:t xml:space="preserve">Charis Armonis Dr,MSc, Internal Medicine, GNA </w:t>
      </w:r>
      <w:r>
        <w:rPr>
          <w:rFonts w:ascii="Arial"/>
        </w:rPr>
        <w:t>‘</w:t>
      </w:r>
      <w:r>
        <w:rPr>
          <w:rFonts w:ascii="Arial"/>
        </w:rPr>
        <w:t>ELPIS</w:t>
      </w:r>
      <w:r>
        <w:rPr>
          <w:rFonts w:ascii="Arial"/>
        </w:rPr>
        <w:t>’</w:t>
      </w:r>
      <w:r>
        <w:rPr>
          <w:rFonts w:ascii="Arial"/>
        </w:rPr>
        <w:t xml:space="preserve">, Athens, Greece </w:t>
      </w:r>
    </w:p>
    <w:p w14:paraId="68DD95A5" w14:textId="7ED75248" w:rsidR="005973B9" w:rsidRDefault="001E3C34" w:rsidP="005973B9">
      <w:pPr>
        <w:pStyle w:val="BodyText"/>
        <w:spacing w:before="73" w:line="198" w:lineRule="exact"/>
        <w:ind w:left="100" w:right="5987"/>
        <w:rPr>
          <w:rFonts w:ascii="Arial"/>
        </w:rPr>
      </w:pPr>
      <w:r>
        <w:rPr>
          <w:rFonts w:ascii="Arial"/>
        </w:rPr>
        <w:t xml:space="preserve">Katerina Komnianou, Dr, Internal Medicine, GNA </w:t>
      </w:r>
      <w:r>
        <w:rPr>
          <w:rFonts w:ascii="Arial"/>
        </w:rPr>
        <w:t>‘</w:t>
      </w:r>
      <w:r>
        <w:rPr>
          <w:rFonts w:ascii="Arial"/>
        </w:rPr>
        <w:t>ELPIS</w:t>
      </w:r>
      <w:r>
        <w:rPr>
          <w:rFonts w:ascii="Arial"/>
        </w:rPr>
        <w:t>’</w:t>
      </w:r>
      <w:r w:rsidR="003E7430">
        <w:rPr>
          <w:rFonts w:ascii="Arial"/>
        </w:rPr>
        <w:t>,</w:t>
      </w:r>
    </w:p>
    <w:p w14:paraId="28ECD6D8" w14:textId="284E8E53" w:rsidR="001E3C34" w:rsidRDefault="001E3C34" w:rsidP="005973B9">
      <w:pPr>
        <w:pStyle w:val="BodyText"/>
        <w:spacing w:before="73" w:line="198" w:lineRule="exact"/>
        <w:ind w:left="100" w:right="5987"/>
        <w:rPr>
          <w:rFonts w:ascii="Arial"/>
        </w:rPr>
      </w:pPr>
      <w:r>
        <w:rPr>
          <w:rFonts w:ascii="Arial"/>
        </w:rPr>
        <w:t>Athens, Greece</w:t>
      </w:r>
    </w:p>
    <w:p w14:paraId="17C2D90C" w14:textId="77777777" w:rsidR="00AE3E37" w:rsidRDefault="00AE3E37">
      <w:pPr>
        <w:pStyle w:val="BodyText"/>
        <w:rPr>
          <w:rFonts w:ascii="Arial"/>
          <w:sz w:val="20"/>
        </w:rPr>
      </w:pPr>
    </w:p>
    <w:p w14:paraId="290D6FBC"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38458FD" w14:textId="2FE8AFE2" w:rsidR="00AE3E37" w:rsidRDefault="00A9710C">
      <w:pPr>
        <w:pStyle w:val="Heading3"/>
        <w:spacing w:before="147"/>
        <w:jc w:val="both"/>
      </w:pPr>
      <w:r>
        <w:rPr>
          <w:color w:val="BF5A14"/>
        </w:rPr>
        <w:lastRenderedPageBreak/>
        <w:t>Abstract</w:t>
      </w:r>
    </w:p>
    <w:p w14:paraId="77B8788A" w14:textId="77777777" w:rsidR="001E3C34" w:rsidRPr="001E3C34" w:rsidRDefault="001E3C34" w:rsidP="001E3C34">
      <w:pPr>
        <w:pStyle w:val="Heading3"/>
        <w:spacing w:before="74"/>
        <w:rPr>
          <w:rFonts w:ascii="Tw Cen MT" w:eastAsia="Tw Cen MT" w:hAnsi="Tw Cen MT" w:cs="Tw Cen MT"/>
          <w:b w:val="0"/>
          <w:bCs w:val="0"/>
          <w:sz w:val="18"/>
          <w:szCs w:val="18"/>
        </w:rPr>
      </w:pPr>
      <w:r w:rsidRPr="001E3C34">
        <w:rPr>
          <w:rFonts w:ascii="Tw Cen MT" w:eastAsia="Tw Cen MT" w:hAnsi="Tw Cen MT" w:cs="Tw Cen MT"/>
          <w:b w:val="0"/>
          <w:bCs w:val="0"/>
          <w:sz w:val="18"/>
          <w:szCs w:val="18"/>
        </w:rPr>
        <w:t>Introduction: Recent studies have shown that patients with COVID-19, who have underlying diabetes mellitus, develop a severe clinical course and have increased mortality. Similarly, dyslipidemia is a common complication in patients with COVID-19, indicating that there may be a pathophysiological interaction between lipid metabolism and SARS-CoV-2. The main manifestation is hypolipidemia, which is associated with severe illness and unfavorable outcome.</w:t>
      </w:r>
    </w:p>
    <w:p w14:paraId="7AF52D29" w14:textId="77777777" w:rsidR="001E3C34" w:rsidRPr="001E3C34" w:rsidRDefault="001E3C34" w:rsidP="001E3C34">
      <w:pPr>
        <w:pStyle w:val="Heading3"/>
        <w:spacing w:before="74"/>
        <w:rPr>
          <w:rFonts w:ascii="Tw Cen MT" w:eastAsia="Tw Cen MT" w:hAnsi="Tw Cen MT" w:cs="Tw Cen MT"/>
          <w:b w:val="0"/>
          <w:bCs w:val="0"/>
          <w:sz w:val="18"/>
          <w:szCs w:val="18"/>
        </w:rPr>
      </w:pPr>
      <w:r w:rsidRPr="001E3C34">
        <w:rPr>
          <w:rFonts w:ascii="Tw Cen MT" w:eastAsia="Tw Cen MT" w:hAnsi="Tw Cen MT" w:cs="Tw Cen MT"/>
          <w:b w:val="0"/>
          <w:bCs w:val="0"/>
          <w:sz w:val="18"/>
          <w:szCs w:val="18"/>
        </w:rPr>
        <w:t>Aim: The aim of the present study was to assess the impact of glucose and lipid levels on the progression and outcome of patients with COVID-19 infection.</w:t>
      </w:r>
    </w:p>
    <w:p w14:paraId="2AD2655F" w14:textId="77777777" w:rsidR="001E3C34" w:rsidRPr="001E3C34" w:rsidRDefault="001E3C34" w:rsidP="001E3C34">
      <w:pPr>
        <w:pStyle w:val="Heading3"/>
        <w:spacing w:before="74"/>
        <w:rPr>
          <w:rFonts w:ascii="Tw Cen MT" w:eastAsia="Tw Cen MT" w:hAnsi="Tw Cen MT" w:cs="Tw Cen MT"/>
          <w:b w:val="0"/>
          <w:bCs w:val="0"/>
          <w:sz w:val="18"/>
          <w:szCs w:val="18"/>
        </w:rPr>
      </w:pPr>
      <w:r w:rsidRPr="001E3C34">
        <w:rPr>
          <w:rFonts w:ascii="Tw Cen MT" w:eastAsia="Tw Cen MT" w:hAnsi="Tw Cen MT" w:cs="Tw Cen MT"/>
          <w:b w:val="0"/>
          <w:bCs w:val="0"/>
          <w:sz w:val="18"/>
          <w:szCs w:val="18"/>
        </w:rPr>
        <w:t xml:space="preserve">Material and Methods: The study sample consisted of 301 patients who became ill with SARS-CoV-2 and hospitalized during the calendar year 2021. Data were collected from the patients themselves and from their clinical and laboratory follow-up. </w:t>
      </w:r>
    </w:p>
    <w:p w14:paraId="6487C181" w14:textId="77777777" w:rsidR="001E3C34" w:rsidRPr="001E3C34" w:rsidRDefault="001E3C34" w:rsidP="001E3C34">
      <w:pPr>
        <w:pStyle w:val="Heading3"/>
        <w:spacing w:before="74"/>
        <w:rPr>
          <w:rFonts w:ascii="Tw Cen MT" w:eastAsia="Tw Cen MT" w:hAnsi="Tw Cen MT" w:cs="Tw Cen MT"/>
          <w:b w:val="0"/>
          <w:bCs w:val="0"/>
          <w:sz w:val="18"/>
          <w:szCs w:val="18"/>
        </w:rPr>
      </w:pPr>
      <w:r w:rsidRPr="001E3C34">
        <w:rPr>
          <w:rFonts w:ascii="Tw Cen MT" w:eastAsia="Tw Cen MT" w:hAnsi="Tw Cen MT" w:cs="Tw Cen MT"/>
          <w:b w:val="0"/>
          <w:bCs w:val="0"/>
          <w:sz w:val="18"/>
          <w:szCs w:val="18"/>
        </w:rPr>
        <w:t>Results: A total of 301 patients were included in the study, 56.8% were male and 82.4% of patients were not vaccinated for SARS-CoV-2 at baseline. The mean age was 66.7 years and the body mass index was 28.8. More specifically 27.6% had diabetes mellitus and 34.2% reported known dyslipidemia. Comparison of the outcome of the disease with the laboratory data of  patients on the day of admission found that death was more frequently observed in those with older age (83.0±11.0), (p&lt;0.001), with abnormal glucose values, (159.8±51.4), (p=0.039), with abnormal creatinine values, (p&lt;0.001), with low glomerular filtration rate, (p&lt;0.001), lower total cholesterol values, (p=0.044), higher triglycerides values (124±64,8), (p=0,003), abnormal CRP values, (p&lt;0.001), cTnT (p=0.001), D-dimers (p&lt;0.001), and SatO2 (p&lt;0.001).</w:t>
      </w:r>
    </w:p>
    <w:p w14:paraId="2FDC7A89" w14:textId="5EB419B3" w:rsidR="005973B9" w:rsidRDefault="001E3C34" w:rsidP="001E3C34">
      <w:pPr>
        <w:pStyle w:val="Heading3"/>
        <w:spacing w:before="74"/>
        <w:rPr>
          <w:b w:val="0"/>
        </w:rPr>
      </w:pPr>
      <w:r w:rsidRPr="001E3C34">
        <w:rPr>
          <w:rFonts w:ascii="Tw Cen MT" w:eastAsia="Tw Cen MT" w:hAnsi="Tw Cen MT" w:cs="Tw Cen MT"/>
          <w:b w:val="0"/>
          <w:bCs w:val="0"/>
          <w:sz w:val="18"/>
          <w:szCs w:val="18"/>
        </w:rPr>
        <w:t>Conclusion: The present study showed that death was more frequently observed in subjects with hyperglycemia and hypolipidemia, and other pathological findings. It is therefore evident that these patients should be a priority in the development of studies and guidelines.</w:t>
      </w:r>
      <w:r w:rsidR="00A9710C">
        <w:rPr>
          <w:b w:val="0"/>
        </w:rPr>
        <w:br w:type="column"/>
      </w:r>
      <w:r w:rsidR="005973B9">
        <w:rPr>
          <w:color w:val="BF5A14"/>
        </w:rPr>
        <w:lastRenderedPageBreak/>
        <w:t>Recent Publications</w:t>
      </w:r>
    </w:p>
    <w:p w14:paraId="3ABA7DC9" w14:textId="77777777" w:rsidR="001E3C34" w:rsidRDefault="001E3C34" w:rsidP="005973B9">
      <w:pPr>
        <w:pStyle w:val="ListParagraph"/>
        <w:numPr>
          <w:ilvl w:val="0"/>
          <w:numId w:val="3"/>
        </w:numPr>
        <w:tabs>
          <w:tab w:val="left" w:pos="384"/>
        </w:tabs>
        <w:spacing w:line="216" w:lineRule="exact"/>
        <w:ind w:right="137" w:hanging="283"/>
        <w:rPr>
          <w:sz w:val="18"/>
        </w:rPr>
      </w:pPr>
      <w:r w:rsidRPr="001E3C34">
        <w:rPr>
          <w:sz w:val="18"/>
        </w:rPr>
        <w:t>Chilamakuri R, Agarwal S. COVID-19: Characteristics and Therapeutics. Cells. 2021 Jan 21;10(2):206. doi: 10.3390/cells10020206. PMID: 33494237; PMCID: PMC7909801.</w:t>
      </w:r>
    </w:p>
    <w:p w14:paraId="0941D3C4" w14:textId="77777777" w:rsidR="001E3C34" w:rsidRDefault="001E3C34" w:rsidP="005973B9">
      <w:pPr>
        <w:pStyle w:val="ListParagraph"/>
        <w:numPr>
          <w:ilvl w:val="0"/>
          <w:numId w:val="3"/>
        </w:numPr>
        <w:tabs>
          <w:tab w:val="left" w:pos="384"/>
        </w:tabs>
        <w:spacing w:line="216" w:lineRule="exact"/>
        <w:ind w:right="138" w:hanging="283"/>
        <w:rPr>
          <w:sz w:val="18"/>
        </w:rPr>
      </w:pPr>
      <w:r w:rsidRPr="001E3C34">
        <w:rPr>
          <w:sz w:val="18"/>
        </w:rPr>
        <w:t>Coronavirus update (live): 2,818,181 cases and 196,576 deaths from COVID-19 virus pandemic - worldometer. n.d, https://www.worldometers.info/coronavirus/ (accessed April 25, 2020).</w:t>
      </w:r>
    </w:p>
    <w:p w14:paraId="6CD5C83B" w14:textId="77777777" w:rsidR="001E3C34" w:rsidRDefault="001E3C34" w:rsidP="001E3C34">
      <w:pPr>
        <w:pStyle w:val="ListParagraph"/>
        <w:numPr>
          <w:ilvl w:val="0"/>
          <w:numId w:val="3"/>
        </w:numPr>
        <w:tabs>
          <w:tab w:val="left" w:pos="384"/>
        </w:tabs>
        <w:spacing w:before="92" w:line="218" w:lineRule="exact"/>
        <w:ind w:hanging="283"/>
        <w:rPr>
          <w:sz w:val="18"/>
        </w:rPr>
      </w:pPr>
      <w:r w:rsidRPr="001E3C34">
        <w:rPr>
          <w:sz w:val="18"/>
        </w:rPr>
        <w:t>Mahase E. Covid-19: WHO declares pandemic because of "alarming levels" of spread, severity, and inaction. BMJ. 2020 Mar 12;368:m1036. doi: 10.1136/bmj.m1036. PMID: 32165426.</w:t>
      </w:r>
    </w:p>
    <w:p w14:paraId="02E33DB0" w14:textId="3BCE1A5A" w:rsidR="001E3C34" w:rsidRPr="001E3C34" w:rsidRDefault="001E3C34" w:rsidP="001E3C34">
      <w:pPr>
        <w:pStyle w:val="ListParagraph"/>
        <w:numPr>
          <w:ilvl w:val="0"/>
          <w:numId w:val="3"/>
        </w:numPr>
        <w:tabs>
          <w:tab w:val="left" w:pos="384"/>
        </w:tabs>
        <w:spacing w:before="92" w:line="218" w:lineRule="exact"/>
        <w:ind w:hanging="283"/>
        <w:rPr>
          <w:sz w:val="18"/>
        </w:rPr>
      </w:pPr>
      <w:r w:rsidRPr="001E3C34">
        <w:t>Kumar A, Arora A, Sharma P, Anikhindi SA, Bansal N, Singla V, Khare S, Srivastava A. Is diabetes mellitus associated with mortality and severity of COVID-19? A meta-analysis. Diabetes Metab Syndr. 2020 Jul-Aug;14(4):535-545. doi: 10.1016/j.dsx.2020.04.044. Epub 2020 May 6. PMID: 32408118; PMCID: PMC7200339.</w:t>
      </w:r>
    </w:p>
    <w:p w14:paraId="4141FBC6" w14:textId="53090529" w:rsidR="00AE3E37" w:rsidRDefault="001E3C34" w:rsidP="001E3C34">
      <w:pPr>
        <w:pStyle w:val="BodyText"/>
        <w:numPr>
          <w:ilvl w:val="0"/>
          <w:numId w:val="3"/>
        </w:numPr>
        <w:spacing w:before="85" w:line="216" w:lineRule="exact"/>
        <w:ind w:right="138"/>
        <w:jc w:val="both"/>
        <w:rPr>
          <w:rFonts w:ascii="Calibri" w:hAnsi="Calibri"/>
        </w:rPr>
      </w:pPr>
      <w:r w:rsidRPr="001E3C34">
        <w:rPr>
          <w:rFonts w:ascii="Calibri" w:hAnsi="Calibri"/>
        </w:rPr>
        <w:t>Kočar E, Režen T, Rozman D. Cholesterol, lipoproteins, and COVID-19: Basic concepts and clinical applications. Biochim Biophys Acta Mol Cell Biol Lipids. 2021 Feb;1866(2):158849. doi: 10.1016/j.bbalip.2020.158849. Epub 2020 Nov 4. PMID: 33157278; PMCID: PMC7610134.</w:t>
      </w:r>
    </w:p>
    <w:p w14:paraId="7FB4B823" w14:textId="5E7DD161" w:rsidR="001E3C34" w:rsidRPr="008756E6" w:rsidRDefault="001E3C34" w:rsidP="001E3C34">
      <w:pPr>
        <w:pStyle w:val="BodyText"/>
        <w:numPr>
          <w:ilvl w:val="0"/>
          <w:numId w:val="3"/>
        </w:numPr>
        <w:spacing w:before="85" w:line="216" w:lineRule="exact"/>
        <w:ind w:right="138"/>
        <w:jc w:val="both"/>
      </w:pPr>
      <w:r w:rsidRPr="001E3C34">
        <w:t>Masana L, Correig E, Ibarretxe D, Anoro E, Arroyo JA, Jericó C, Guerrero C, Miret M, Näf S, Pardo A, Perea V, Pérez-Bernalte R, Plana N, Ramírez-Montesinos R, Royuela M, Soler C, Urquizu-Padilla M, Zamora A, Pedro-Botet J; STACOV-XULA research group. Low HDL and high triglycerides predict COVID-19 severity. Sci Rep. 2021 Mar 30;11(1):7217. doi: 10.1038/s41598-021-86747-5</w:t>
      </w:r>
    </w:p>
    <w:p w14:paraId="1B64C182"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3606542" w14:textId="77777777" w:rsidR="00AE3E37" w:rsidRDefault="00AE3E37">
      <w:pPr>
        <w:pStyle w:val="BodyText"/>
        <w:rPr>
          <w:rFonts w:ascii="Calibri"/>
          <w:sz w:val="20"/>
        </w:rPr>
      </w:pPr>
    </w:p>
    <w:p w14:paraId="24193DF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0BA2E1C" wp14:editId="1187B9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E565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76AEDEA" w14:textId="673AA729" w:rsidR="00AE3E37" w:rsidRDefault="008756E6" w:rsidP="00404E5B">
      <w:pPr>
        <w:spacing w:before="92"/>
        <w:ind w:right="4234"/>
        <w:rPr>
          <w:rFonts w:ascii="Arial"/>
        </w:rPr>
      </w:pPr>
      <w:r>
        <w:rPr>
          <w:noProof/>
        </w:rPr>
        <w:t xml:space="preserve">         </w:t>
      </w:r>
      <w:r w:rsidR="00945628">
        <w:rPr>
          <w:noProof/>
        </w:rPr>
        <w:drawing>
          <wp:inline distT="0" distB="0" distL="0" distR="0" wp14:anchorId="218507C4" wp14:editId="0787BBBB">
            <wp:extent cx="746760" cy="73152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6760" cy="731520"/>
                    </a:xfrm>
                    <a:prstGeom prst="rect">
                      <a:avLst/>
                    </a:prstGeom>
                    <a:noFill/>
                    <a:ln>
                      <a:noFill/>
                    </a:ln>
                  </pic:spPr>
                </pic:pic>
              </a:graphicData>
            </a:graphic>
          </wp:inline>
        </w:drawing>
      </w:r>
      <w:r>
        <w:rPr>
          <w:noProof/>
        </w:rPr>
        <w:t xml:space="preserve">     </w:t>
      </w:r>
      <w:r w:rsidR="00A9710C">
        <w:rPr>
          <w:rFonts w:ascii="Arial"/>
          <w:color w:val="BF5A14"/>
        </w:rPr>
        <w:t>Biography</w:t>
      </w:r>
    </w:p>
    <w:p w14:paraId="5C362B42" w14:textId="7EC41DA4" w:rsidR="00AE3E37" w:rsidRDefault="00BE1E23">
      <w:pPr>
        <w:spacing w:before="41" w:line="154" w:lineRule="exact"/>
        <w:ind w:left="213" w:right="231"/>
        <w:jc w:val="both"/>
        <w:rPr>
          <w:rFonts w:ascii="Arial"/>
          <w:sz w:val="14"/>
        </w:rPr>
      </w:pPr>
      <w:r w:rsidRPr="00BE1E23">
        <w:rPr>
          <w:rFonts w:ascii="Arial"/>
          <w:sz w:val="14"/>
        </w:rPr>
        <w:t xml:space="preserve">Charis Armonis has completed at the age of 24 the School of Medicine of National and Kapodistrian University of Athens. At the age of 28 years, he completed the Msc </w:t>
      </w:r>
      <w:r w:rsidRPr="00BE1E23">
        <w:rPr>
          <w:rFonts w:ascii="Arial"/>
          <w:sz w:val="14"/>
        </w:rPr>
        <w:t>‘</w:t>
      </w:r>
      <w:r w:rsidRPr="00BE1E23">
        <w:rPr>
          <w:rFonts w:ascii="Arial"/>
          <w:sz w:val="14"/>
        </w:rPr>
        <w:t>Invasive Cardiology</w:t>
      </w:r>
      <w:r w:rsidRPr="00BE1E23">
        <w:rPr>
          <w:rFonts w:ascii="Arial"/>
          <w:sz w:val="14"/>
        </w:rPr>
        <w:t>’</w:t>
      </w:r>
      <w:r w:rsidRPr="00BE1E23">
        <w:rPr>
          <w:rFonts w:ascii="Arial"/>
          <w:sz w:val="14"/>
        </w:rPr>
        <w:t xml:space="preserve"> of General Hospital of Athens </w:t>
      </w:r>
      <w:r w:rsidRPr="00BE1E23">
        <w:rPr>
          <w:rFonts w:ascii="Arial"/>
          <w:sz w:val="14"/>
        </w:rPr>
        <w:t>‘</w:t>
      </w:r>
      <w:r w:rsidRPr="00BE1E23">
        <w:rPr>
          <w:rFonts w:ascii="Arial"/>
          <w:sz w:val="14"/>
        </w:rPr>
        <w:t>Ippokrateio</w:t>
      </w:r>
      <w:r w:rsidRPr="00BE1E23">
        <w:rPr>
          <w:rFonts w:ascii="Arial"/>
          <w:sz w:val="14"/>
        </w:rPr>
        <w:t>’</w:t>
      </w:r>
      <w:r w:rsidRPr="00BE1E23">
        <w:rPr>
          <w:rFonts w:ascii="Arial"/>
          <w:sz w:val="14"/>
        </w:rPr>
        <w:t xml:space="preserve">. He is medical resident of Internal Medicine at the GNA </w:t>
      </w:r>
      <w:r w:rsidRPr="00BE1E23">
        <w:rPr>
          <w:rFonts w:ascii="Arial"/>
          <w:sz w:val="14"/>
        </w:rPr>
        <w:t>‘</w:t>
      </w:r>
      <w:r w:rsidRPr="00BE1E23">
        <w:rPr>
          <w:rFonts w:ascii="Arial"/>
          <w:sz w:val="14"/>
        </w:rPr>
        <w:t>ELPIS</w:t>
      </w:r>
      <w:r w:rsidRPr="00BE1E23">
        <w:rPr>
          <w:rFonts w:ascii="Arial"/>
          <w:sz w:val="14"/>
        </w:rPr>
        <w:t>’</w:t>
      </w:r>
      <w:r w:rsidRPr="00BE1E23">
        <w:rPr>
          <w:rFonts w:ascii="Arial"/>
          <w:sz w:val="14"/>
        </w:rPr>
        <w:t>. He has publications in international and Greek conferences and has been serving as an editorial board member of repute.</w:t>
      </w:r>
    </w:p>
    <w:p w14:paraId="2526698E" w14:textId="35A96EF6" w:rsidR="00AE3E37" w:rsidRDefault="00A9710C">
      <w:pPr>
        <w:spacing w:before="62"/>
        <w:ind w:left="4217" w:right="4235"/>
        <w:jc w:val="center"/>
        <w:rPr>
          <w:rFonts w:ascii="Arial"/>
          <w:sz w:val="14"/>
        </w:rPr>
      </w:pPr>
      <w:r>
        <w:rPr>
          <w:rFonts w:ascii="Arial"/>
          <w:sz w:val="14"/>
        </w:rPr>
        <w:t xml:space="preserve">Email: </w:t>
      </w:r>
      <w:hyperlink r:id="rId10" w:history="1">
        <w:r w:rsidR="00C40D8D" w:rsidRPr="004956F9">
          <w:rPr>
            <w:rStyle w:val="Hyperlink"/>
            <w:rFonts w:ascii="Arial"/>
            <w:sz w:val="14"/>
          </w:rPr>
          <w:t>charisarmsfm@gmail.com</w:t>
        </w:r>
      </w:hyperlink>
    </w:p>
    <w:p w14:paraId="4DAC399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59EB78A" wp14:editId="14F418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F3085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32B0B62" w14:textId="77777777" w:rsidR="00AE3E37" w:rsidRDefault="00AE3E37">
      <w:pPr>
        <w:pStyle w:val="BodyText"/>
        <w:rPr>
          <w:rFonts w:ascii="Arial"/>
          <w:sz w:val="20"/>
        </w:rPr>
      </w:pPr>
    </w:p>
    <w:p w14:paraId="656D310E" w14:textId="77777777" w:rsidR="00AE3E37" w:rsidRDefault="00AE3E37">
      <w:pPr>
        <w:pStyle w:val="BodyText"/>
        <w:spacing w:before="7"/>
        <w:rPr>
          <w:rFonts w:ascii="Arial"/>
          <w:sz w:val="29"/>
        </w:rPr>
      </w:pPr>
    </w:p>
    <w:p w14:paraId="76A31E7A" w14:textId="0EB0868A" w:rsidR="00EA7D51" w:rsidRDefault="00A9710C" w:rsidP="00AB64AC">
      <w:pPr>
        <w:spacing w:before="39"/>
        <w:ind w:left="100"/>
        <w:rPr>
          <w:rFonts w:ascii="Minion Pro"/>
          <w:b/>
          <w:sz w:val="20"/>
        </w:rPr>
      </w:pPr>
      <w:r w:rsidRPr="00B21A57">
        <w:rPr>
          <w:rFonts w:ascii="Minion Pro"/>
          <w:b/>
          <w:sz w:val="20"/>
        </w:rPr>
        <w:t>Notes/Comments:</w:t>
      </w:r>
    </w:p>
    <w:p w14:paraId="252605DF" w14:textId="77777777" w:rsidR="00AB64AC" w:rsidRDefault="00AB64AC" w:rsidP="00AB64AC">
      <w:pPr>
        <w:spacing w:before="39"/>
        <w:ind w:left="100"/>
        <w:rPr>
          <w:rFonts w:ascii="Minion Pro"/>
          <w:b/>
          <w:sz w:val="20"/>
        </w:rPr>
      </w:pPr>
    </w:p>
    <w:p w14:paraId="6AD515A5" w14:textId="505390F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40D8D">
        <w:rPr>
          <w:sz w:val="20"/>
          <w:szCs w:val="20"/>
          <w:lang w:val="en-NZ"/>
        </w:rPr>
        <w:t>Charis Armonis</w:t>
      </w:r>
      <w:r w:rsidRPr="00F35A62">
        <w:rPr>
          <w:sz w:val="20"/>
          <w:szCs w:val="20"/>
          <w:lang w:val="en-NZ"/>
        </w:rPr>
        <w:br/>
        <w:t>Contact number:</w:t>
      </w:r>
      <w:r w:rsidR="00C40D8D">
        <w:rPr>
          <w:sz w:val="20"/>
          <w:szCs w:val="20"/>
          <w:lang w:val="en-NZ"/>
        </w:rPr>
        <w:t xml:space="preserve"> +0030 6978435501</w:t>
      </w:r>
    </w:p>
    <w:p w14:paraId="6B3A8E54" w14:textId="46039D6D" w:rsidR="00EA7D51" w:rsidRPr="000534A1" w:rsidRDefault="00EA7D51" w:rsidP="00AB64AC">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Poster presentation</w:t>
      </w:r>
    </w:p>
    <w:p w14:paraId="40731AA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A4EAAC" w14:textId="77777777" w:rsidR="000942EC" w:rsidRDefault="000942EC">
      <w:r>
        <w:separator/>
      </w:r>
    </w:p>
  </w:endnote>
  <w:endnote w:type="continuationSeparator" w:id="0">
    <w:p w14:paraId="02AB1BF1" w14:textId="77777777" w:rsidR="000942EC" w:rsidRDefault="0009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40E9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9B76287" wp14:editId="5B4B79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1C7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2B5D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B7628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3411C7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2B5D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97C821C" wp14:editId="389860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3D1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3C06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C821C"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373D1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3C06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8B68550" wp14:editId="1D2535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CA7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8D0A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B6855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3D0CA7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8D0A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8A89D6" w14:textId="77777777" w:rsidR="000942EC" w:rsidRDefault="000942EC">
      <w:r>
        <w:separator/>
      </w:r>
    </w:p>
  </w:footnote>
  <w:footnote w:type="continuationSeparator" w:id="0">
    <w:p w14:paraId="630E062B" w14:textId="77777777" w:rsidR="000942EC" w:rsidRDefault="000942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92479"/>
    <w:rsid w:val="000942EC"/>
    <w:rsid w:val="000B4CAA"/>
    <w:rsid w:val="000E2911"/>
    <w:rsid w:val="001263DF"/>
    <w:rsid w:val="001E3C34"/>
    <w:rsid w:val="0028017A"/>
    <w:rsid w:val="00292ED9"/>
    <w:rsid w:val="00351D9B"/>
    <w:rsid w:val="00380299"/>
    <w:rsid w:val="003C5BB9"/>
    <w:rsid w:val="003E7430"/>
    <w:rsid w:val="00404E5B"/>
    <w:rsid w:val="00414F7B"/>
    <w:rsid w:val="004355DC"/>
    <w:rsid w:val="004749B4"/>
    <w:rsid w:val="00475D20"/>
    <w:rsid w:val="00494130"/>
    <w:rsid w:val="004F3523"/>
    <w:rsid w:val="00590D60"/>
    <w:rsid w:val="005973B9"/>
    <w:rsid w:val="005B3A56"/>
    <w:rsid w:val="006060CE"/>
    <w:rsid w:val="0061505C"/>
    <w:rsid w:val="0063497F"/>
    <w:rsid w:val="006A3DF2"/>
    <w:rsid w:val="007005BD"/>
    <w:rsid w:val="00714354"/>
    <w:rsid w:val="00873DF0"/>
    <w:rsid w:val="008756E6"/>
    <w:rsid w:val="00897EC5"/>
    <w:rsid w:val="008A0763"/>
    <w:rsid w:val="008E5477"/>
    <w:rsid w:val="00945628"/>
    <w:rsid w:val="009B2D44"/>
    <w:rsid w:val="00A07E82"/>
    <w:rsid w:val="00A52075"/>
    <w:rsid w:val="00A9710C"/>
    <w:rsid w:val="00AB64AC"/>
    <w:rsid w:val="00AE3E37"/>
    <w:rsid w:val="00B21A57"/>
    <w:rsid w:val="00BE1E23"/>
    <w:rsid w:val="00BE6743"/>
    <w:rsid w:val="00C33602"/>
    <w:rsid w:val="00C40D8D"/>
    <w:rsid w:val="00C56C74"/>
    <w:rsid w:val="00CD6F55"/>
    <w:rsid w:val="00DE3104"/>
    <w:rsid w:val="00DE6170"/>
    <w:rsid w:val="00E04711"/>
    <w:rsid w:val="00E30AAC"/>
    <w:rsid w:val="00E35483"/>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A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40D8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40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harisarmsfm@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3710</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Analytical Techniques</cp:lastModifiedBy>
  <cp:revision>2</cp:revision>
  <dcterms:created xsi:type="dcterms:W3CDTF">2023-04-29T04:42:00Z</dcterms:created>
  <dcterms:modified xsi:type="dcterms:W3CDTF">2023-04-29T04:42:00Z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