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C80A50" w14:textId="77777777" w:rsidR="00825CC7" w:rsidRPr="00825CC7" w:rsidRDefault="00825CC7" w:rsidP="00825CC7">
      <w:pPr>
        <w:spacing w:line="360" w:lineRule="auto"/>
        <w:jc w:val="both"/>
        <w:rPr>
          <w:rFonts w:ascii="Times New Roman" w:hAnsi="Times New Roman" w:cs="Times New Roman"/>
        </w:rPr>
      </w:pPr>
    </w:p>
    <w:p w14:paraId="72404C8B" w14:textId="77777777" w:rsidR="00825CC7" w:rsidRPr="00825CC7" w:rsidRDefault="00825CC7" w:rsidP="00825CC7">
      <w:pPr>
        <w:spacing w:line="360" w:lineRule="auto"/>
        <w:jc w:val="both"/>
        <w:rPr>
          <w:rFonts w:ascii="Times New Roman" w:hAnsi="Times New Roman" w:cs="Times New Roman"/>
        </w:rPr>
      </w:pPr>
    </w:p>
    <w:p w14:paraId="27C55428" w14:textId="77777777" w:rsidR="00825CC7" w:rsidRDefault="00825CC7" w:rsidP="00825CC7">
      <w:pPr>
        <w:pStyle w:val="ANABALIK"/>
        <w:rPr>
          <w:rFonts w:hAnsi="Times New Roman" w:cs="Times New Roman"/>
        </w:rPr>
      </w:pPr>
      <w:r w:rsidRPr="00AF0B87">
        <w:rPr>
          <w:rFonts w:hAnsi="Times New Roman" w:cs="Times New Roman"/>
        </w:rPr>
        <w:t xml:space="preserve">Clinical longivity of Porcelain Laminate Veneer Restorations on bruxist and non-bruxist patients: 1 up to 11 years </w:t>
      </w:r>
    </w:p>
    <w:p w14:paraId="26023F92" w14:textId="1B75C30A" w:rsidR="00E34AD6" w:rsidRDefault="00E34AD6" w:rsidP="00825CC7">
      <w:pPr>
        <w:pStyle w:val="ANABALIK"/>
        <w:rPr>
          <w:rFonts w:hAnsi="Times New Roman" w:cs="Times New Roman"/>
        </w:rPr>
      </w:pPr>
      <w:r>
        <w:rPr>
          <w:rFonts w:hAnsi="Times New Roman" w:cs="Times New Roman"/>
        </w:rPr>
        <w:t>Gülnaz ŞİMŞEK, Private Practice, Gaziantep, Turkey</w:t>
      </w:r>
    </w:p>
    <w:p w14:paraId="3F4D81B5" w14:textId="11E4157D" w:rsidR="00E34AD6" w:rsidRPr="00AF0B87" w:rsidRDefault="00E34AD6" w:rsidP="00825CC7">
      <w:pPr>
        <w:pStyle w:val="ANABALIK"/>
        <w:rPr>
          <w:rFonts w:hAnsi="Times New Roman" w:cs="Times New Roman"/>
        </w:rPr>
      </w:pPr>
      <w:r>
        <w:rPr>
          <w:rFonts w:hAnsi="Times New Roman" w:cs="Times New Roman"/>
        </w:rPr>
        <w:t xml:space="preserve">Assoc. Prof. Dr. </w:t>
      </w:r>
      <w:bookmarkStart w:id="0" w:name="_GoBack"/>
      <w:r>
        <w:rPr>
          <w:rFonts w:hAnsi="Times New Roman" w:cs="Times New Roman"/>
        </w:rPr>
        <w:t>Nermin DEMİRKOL</w:t>
      </w:r>
      <w:bookmarkEnd w:id="0"/>
      <w:r>
        <w:rPr>
          <w:rFonts w:hAnsi="Times New Roman" w:cs="Times New Roman"/>
        </w:rPr>
        <w:t xml:space="preserve">, Gaziantep </w:t>
      </w:r>
    </w:p>
    <w:p w14:paraId="583A3D0D" w14:textId="77777777" w:rsidR="00825CC7" w:rsidRDefault="00825CC7" w:rsidP="00825CC7">
      <w:pPr>
        <w:spacing w:line="360" w:lineRule="auto"/>
        <w:jc w:val="both"/>
        <w:rPr>
          <w:rFonts w:ascii="Times New Roman" w:eastAsia="Times New Roman" w:hAnsi="Times New Roman" w:cs="Times New Roman"/>
        </w:rPr>
      </w:pPr>
      <w:r w:rsidRPr="00825CC7">
        <w:rPr>
          <w:rFonts w:ascii="Times New Roman" w:hAnsi="Times New Roman" w:cs="Times New Roman"/>
        </w:rPr>
        <w:t xml:space="preserve">Development  of dental materials and new technologies leads to common of aesthetic and cosmetic dentistry. </w:t>
      </w:r>
      <w:r w:rsidRPr="00825CC7">
        <w:rPr>
          <w:rFonts w:ascii="Times New Roman" w:eastAsia="Times New Roman" w:hAnsi="Times New Roman" w:cs="Times New Roman"/>
        </w:rPr>
        <w:t xml:space="preserve"> Porcelain laminate veneer restorations are based on the treatment of problems such as discoloration, crowding and deformity in the aesthetic area, gingival recession accompanying dental enamel deformation, and hypersensitivity related to cases where conservative treatment is ineffective, by removing the least amount of material from existing teeth. 181 porcelain lamina veneer restorations from 1 to 11 years were followed up clinically retrospectively. Final restoration patient pleasure, bruxism, deep-bite, gingivectomy, timedependent change of parameters available in modified USPHS criteria, relationship between smoking, tea-coffee consumption-coloring, preparation type-restoration fracture, timedependent survival rates were followed and recorded. The results showed that pressure changes in anterior, right and left region had no effect on restoration failure. Also bruxism,gingivectomy, deep-bite had no effect on patient’s pleasure. Our study Showed that the changes in the pressure values of the anterior region, right and left segments did not have an effect on the restoration fracture. The survival rate of PLVs was 98.3%. It was observed that smoking was effective in marginal coloration. Patient pleasure was determined as 100%. Correct indication, correct patient choic, dentist’s speciality, knowledge, skills, experience, appropriate material choice and development of materials are quitely basic criteria on success of PLV restoration.</w:t>
      </w:r>
    </w:p>
    <w:p w14:paraId="4D44F03E" w14:textId="77777777" w:rsidR="00825CC7" w:rsidRDefault="00825CC7" w:rsidP="00825CC7">
      <w:pPr>
        <w:spacing w:line="360" w:lineRule="auto"/>
        <w:jc w:val="both"/>
        <w:rPr>
          <w:rFonts w:ascii="Times New Roman" w:eastAsia="Times New Roman" w:hAnsi="Times New Roman" w:cs="Times New Roman"/>
        </w:rPr>
      </w:pPr>
    </w:p>
    <w:p w14:paraId="68C1502A" w14:textId="77777777" w:rsidR="00825CC7" w:rsidRPr="00825CC7" w:rsidRDefault="00825CC7" w:rsidP="00825CC7">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Key Words: </w:t>
      </w:r>
      <w:r>
        <w:t>Porcelain laminate veneer, Bruxism, Occlusense</w:t>
      </w:r>
    </w:p>
    <w:p w14:paraId="5B2D4CB3" w14:textId="77777777" w:rsidR="00825CC7" w:rsidRPr="00825CC7" w:rsidRDefault="00825CC7" w:rsidP="00825CC7">
      <w:pPr>
        <w:spacing w:line="360" w:lineRule="auto"/>
        <w:jc w:val="both"/>
        <w:rPr>
          <w:rFonts w:ascii="Times New Roman" w:hAnsi="Times New Roman" w:cs="Times New Roman"/>
        </w:rPr>
      </w:pPr>
    </w:p>
    <w:p w14:paraId="4A62212C" w14:textId="28393FE2" w:rsidR="00E34AD6" w:rsidRPr="00AF0B87" w:rsidRDefault="00E34AD6" w:rsidP="00E34AD6">
      <w:pPr>
        <w:pStyle w:val="EndNoteBibliography"/>
        <w:spacing w:line="360" w:lineRule="auto"/>
        <w:jc w:val="both"/>
        <w:rPr>
          <w:rFonts w:ascii="Times New Roman" w:hAnsi="Times New Roman" w:cs="Times New Roman"/>
          <w:noProof/>
        </w:rPr>
      </w:pPr>
      <w:r>
        <w:rPr>
          <w:rFonts w:ascii="Times New Roman" w:hAnsi="Times New Roman" w:cs="Times New Roman"/>
          <w:noProof/>
        </w:rPr>
        <w:t>1.</w:t>
      </w:r>
      <w:r w:rsidRPr="00AF0B87">
        <w:rPr>
          <w:rFonts w:ascii="Times New Roman" w:hAnsi="Times New Roman" w:cs="Times New Roman"/>
          <w:noProof/>
        </w:rPr>
        <w:t>Beier US, Kapferer I, Burtscher D, Dumfahrt H. Clinical performance of porcelain laminate veneers for up to 20 years. International Journal of Prosthodontics. 2012;25(1).</w:t>
      </w:r>
    </w:p>
    <w:p w14:paraId="319F696E" w14:textId="3F9B9155" w:rsidR="00E34AD6" w:rsidRPr="00AF0B87" w:rsidRDefault="00E34AD6" w:rsidP="00E34AD6">
      <w:pPr>
        <w:pStyle w:val="EndNoteBibliography"/>
        <w:spacing w:line="360" w:lineRule="auto"/>
        <w:jc w:val="both"/>
        <w:rPr>
          <w:rFonts w:ascii="Times New Roman" w:hAnsi="Times New Roman" w:cs="Times New Roman"/>
          <w:noProof/>
        </w:rPr>
      </w:pPr>
      <w:r>
        <w:rPr>
          <w:rFonts w:ascii="Times New Roman" w:hAnsi="Times New Roman" w:cs="Times New Roman"/>
          <w:noProof/>
        </w:rPr>
        <w:lastRenderedPageBreak/>
        <w:t xml:space="preserve">2. </w:t>
      </w:r>
      <w:r w:rsidRPr="00AF0B87">
        <w:rPr>
          <w:rFonts w:ascii="Times New Roman" w:hAnsi="Times New Roman" w:cs="Times New Roman"/>
          <w:noProof/>
        </w:rPr>
        <w:t>Demjaha G, Kapusevska B, Pejkovska-Shahpaska B. Bruxism unconscious oral habit in everyday life. Open access Macedonian journal of medical sciences. 2019;7(5):876.</w:t>
      </w:r>
    </w:p>
    <w:p w14:paraId="4B9C6FA3" w14:textId="399EFEE1" w:rsidR="00E34AD6" w:rsidRPr="00AF0B87" w:rsidRDefault="00E34AD6" w:rsidP="00E34AD6">
      <w:pPr>
        <w:pStyle w:val="EndNoteBibliography"/>
        <w:spacing w:line="360" w:lineRule="auto"/>
        <w:jc w:val="both"/>
        <w:rPr>
          <w:rFonts w:ascii="Times New Roman" w:hAnsi="Times New Roman" w:cs="Times New Roman"/>
          <w:noProof/>
        </w:rPr>
      </w:pPr>
      <w:r>
        <w:rPr>
          <w:rFonts w:ascii="Times New Roman" w:hAnsi="Times New Roman" w:cs="Times New Roman"/>
          <w:noProof/>
        </w:rPr>
        <w:t xml:space="preserve">3. </w:t>
      </w:r>
      <w:r w:rsidRPr="00AF0B87">
        <w:rPr>
          <w:rFonts w:ascii="Times New Roman" w:hAnsi="Times New Roman" w:cs="Times New Roman"/>
          <w:noProof/>
        </w:rPr>
        <w:t>Bhuvaneswaran M. Principles of smile design. Journal of conservative dentistry: JCD. 2010;13(4):225.</w:t>
      </w:r>
    </w:p>
    <w:p w14:paraId="4B738F6A" w14:textId="04AD28ED" w:rsidR="00E34AD6" w:rsidRPr="00AF0B87" w:rsidRDefault="00E34AD6" w:rsidP="00E34AD6">
      <w:pPr>
        <w:pStyle w:val="EndNoteBibliography"/>
        <w:spacing w:line="360" w:lineRule="auto"/>
        <w:jc w:val="both"/>
        <w:rPr>
          <w:rFonts w:ascii="Times New Roman" w:hAnsi="Times New Roman" w:cs="Times New Roman"/>
          <w:noProof/>
        </w:rPr>
      </w:pPr>
      <w:r>
        <w:rPr>
          <w:rFonts w:ascii="Times New Roman" w:hAnsi="Times New Roman" w:cs="Times New Roman"/>
          <w:noProof/>
        </w:rPr>
        <w:t xml:space="preserve">4. </w:t>
      </w:r>
      <w:r w:rsidRPr="00AF0B87">
        <w:rPr>
          <w:rFonts w:ascii="Times New Roman" w:hAnsi="Times New Roman" w:cs="Times New Roman"/>
          <w:noProof/>
        </w:rPr>
        <w:t>Fradeani M, Redemagni M, Corrado M. Porcelain laminate veneers: 6-to 12-year clinical evaluation--a retrospective study. International journal of periodontics &amp; restorative dentistry. 2005;25(1).</w:t>
      </w:r>
    </w:p>
    <w:p w14:paraId="2B51AF20" w14:textId="7E69FAC7" w:rsidR="00E34AD6" w:rsidRPr="00AF0B87" w:rsidRDefault="00E34AD6" w:rsidP="00E34AD6">
      <w:pPr>
        <w:pStyle w:val="EndNoteBibliography"/>
        <w:spacing w:line="360" w:lineRule="auto"/>
        <w:jc w:val="both"/>
        <w:rPr>
          <w:rFonts w:ascii="Times New Roman" w:hAnsi="Times New Roman" w:cs="Times New Roman"/>
          <w:noProof/>
        </w:rPr>
      </w:pPr>
      <w:r>
        <w:rPr>
          <w:rFonts w:ascii="Times New Roman" w:hAnsi="Times New Roman" w:cs="Times New Roman"/>
          <w:noProof/>
        </w:rPr>
        <w:t xml:space="preserve">5. </w:t>
      </w:r>
      <w:r w:rsidRPr="00AF0B87">
        <w:rPr>
          <w:rFonts w:ascii="Times New Roman" w:hAnsi="Times New Roman" w:cs="Times New Roman"/>
          <w:noProof/>
        </w:rPr>
        <w:t>Ishida Y, Fujimoto K, Higaki N, Goto T, Ichikawa T. End points and assessments in esthetic dental treatment. Journal of prosthodontic research. 2015;59(4):229-35.</w:t>
      </w:r>
    </w:p>
    <w:p w14:paraId="59230A80" w14:textId="77777777" w:rsidR="00E34AD6" w:rsidRDefault="00E34AD6" w:rsidP="00825CC7">
      <w:pPr>
        <w:spacing w:line="360" w:lineRule="auto"/>
        <w:jc w:val="both"/>
        <w:rPr>
          <w:rFonts w:ascii="Times New Roman" w:hAnsi="Times New Roman" w:cs="Times New Roman"/>
        </w:rPr>
      </w:pPr>
    </w:p>
    <w:p w14:paraId="73E44903" w14:textId="42C6A133" w:rsidR="00825CC7" w:rsidRDefault="00E34AD6" w:rsidP="00825CC7">
      <w:pPr>
        <w:spacing w:line="360" w:lineRule="auto"/>
        <w:jc w:val="both"/>
        <w:rPr>
          <w:rFonts w:ascii="Times New Roman" w:hAnsi="Times New Roman" w:cs="Times New Roman"/>
        </w:rPr>
      </w:pPr>
      <w:r>
        <w:rPr>
          <w:rFonts w:ascii="Times New Roman" w:hAnsi="Times New Roman" w:cs="Times New Roman"/>
        </w:rPr>
        <w:t>Biography</w:t>
      </w:r>
    </w:p>
    <w:p w14:paraId="779B7818" w14:textId="4D91EE33" w:rsidR="00821590" w:rsidRDefault="009E3204" w:rsidP="00821590">
      <w:pPr>
        <w:spacing w:line="360" w:lineRule="auto"/>
        <w:jc w:val="both"/>
        <w:rPr>
          <w:rFonts w:ascii="Times New Roman" w:hAnsi="Times New Roman" w:cs="Times New Roman"/>
        </w:rPr>
      </w:pPr>
      <w:r>
        <w:rPr>
          <w:rFonts w:ascii="Times New Roman" w:hAnsi="Times New Roman" w:cs="Times New Roman"/>
        </w:rPr>
        <w:t xml:space="preserve">Dr. </w:t>
      </w:r>
      <w:r w:rsidRPr="009E3204">
        <w:rPr>
          <w:rFonts w:ascii="Times New Roman" w:hAnsi="Times New Roman" w:cs="Times New Roman"/>
        </w:rPr>
        <w:t xml:space="preserve">Nermin Demirkol </w:t>
      </w:r>
      <w:r>
        <w:rPr>
          <w:rFonts w:ascii="Times New Roman" w:hAnsi="Times New Roman" w:cs="Times New Roman"/>
        </w:rPr>
        <w:t xml:space="preserve">did her </w:t>
      </w:r>
      <w:r w:rsidR="00821590">
        <w:rPr>
          <w:rFonts w:ascii="Times New Roman" w:hAnsi="Times New Roman" w:cs="Times New Roman"/>
        </w:rPr>
        <w:t>Phd at Prosthodontic Department of Gaziantep University Faculty of Dentistry</w:t>
      </w:r>
      <w:r>
        <w:rPr>
          <w:rFonts w:ascii="Times New Roman" w:hAnsi="Times New Roman" w:cs="Times New Roman"/>
        </w:rPr>
        <w:t xml:space="preserve"> and from </w:t>
      </w:r>
      <w:r w:rsidR="00821590">
        <w:rPr>
          <w:rFonts w:ascii="Times New Roman" w:hAnsi="Times New Roman" w:cs="Times New Roman"/>
        </w:rPr>
        <w:t xml:space="preserve">2014-2020 </w:t>
      </w:r>
      <w:r>
        <w:rPr>
          <w:rFonts w:ascii="Times New Roman" w:hAnsi="Times New Roman" w:cs="Times New Roman"/>
        </w:rPr>
        <w:t xml:space="preserve">she worked as a </w:t>
      </w:r>
      <w:r w:rsidR="00821590">
        <w:rPr>
          <w:rFonts w:ascii="Times New Roman" w:hAnsi="Times New Roman" w:cs="Times New Roman"/>
        </w:rPr>
        <w:t>Assitant Prof. at Prosthodontic Department of Gaziantep University Faculty of Dentistry</w:t>
      </w:r>
      <w:r>
        <w:rPr>
          <w:rFonts w:ascii="Times New Roman" w:hAnsi="Times New Roman" w:cs="Times New Roman"/>
        </w:rPr>
        <w:t xml:space="preserve">. From </w:t>
      </w:r>
      <w:r w:rsidR="00821590">
        <w:rPr>
          <w:rFonts w:ascii="Times New Roman" w:hAnsi="Times New Roman" w:cs="Times New Roman"/>
        </w:rPr>
        <w:t xml:space="preserve">2020 </w:t>
      </w:r>
      <w:r>
        <w:rPr>
          <w:rFonts w:ascii="Times New Roman" w:hAnsi="Times New Roman" w:cs="Times New Roman"/>
        </w:rPr>
        <w:t xml:space="preserve">she is working as a </w:t>
      </w:r>
      <w:r w:rsidR="00821590">
        <w:rPr>
          <w:rFonts w:ascii="Times New Roman" w:hAnsi="Times New Roman" w:cs="Times New Roman"/>
        </w:rPr>
        <w:t>Associated Prof</w:t>
      </w:r>
      <w:r>
        <w:rPr>
          <w:rFonts w:ascii="Times New Roman" w:hAnsi="Times New Roman" w:cs="Times New Roman"/>
        </w:rPr>
        <w:t xml:space="preserve"> </w:t>
      </w:r>
      <w:r w:rsidR="00821590">
        <w:rPr>
          <w:rFonts w:ascii="Times New Roman" w:hAnsi="Times New Roman" w:cs="Times New Roman"/>
        </w:rPr>
        <w:t>at Prosthodontic Department of Gaziantep University Faculty of Dentistry</w:t>
      </w:r>
      <w:r>
        <w:rPr>
          <w:rFonts w:ascii="Times New Roman" w:hAnsi="Times New Roman" w:cs="Times New Roman"/>
        </w:rPr>
        <w:t>.</w:t>
      </w:r>
    </w:p>
    <w:p w14:paraId="6CF59FD9" w14:textId="31456073" w:rsidR="00E34AD6" w:rsidRPr="00825CC7" w:rsidRDefault="00E34AD6" w:rsidP="00825CC7">
      <w:pPr>
        <w:spacing w:line="360" w:lineRule="auto"/>
        <w:jc w:val="both"/>
        <w:rPr>
          <w:rFonts w:ascii="Times New Roman" w:hAnsi="Times New Roman" w:cs="Times New Roman"/>
        </w:rPr>
      </w:pPr>
    </w:p>
    <w:sectPr w:rsidR="00E34AD6" w:rsidRPr="00825CC7" w:rsidSect="00B448A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C2D"/>
    <w:rsid w:val="000F048B"/>
    <w:rsid w:val="00511C2D"/>
    <w:rsid w:val="0055412B"/>
    <w:rsid w:val="005A1D5C"/>
    <w:rsid w:val="00821590"/>
    <w:rsid w:val="00825CC7"/>
    <w:rsid w:val="009E3204"/>
    <w:rsid w:val="00B448A5"/>
    <w:rsid w:val="00DE2E31"/>
    <w:rsid w:val="00E246AB"/>
    <w:rsid w:val="00E34AD6"/>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0C7CF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ABALIK">
    <w:name w:val="ANA BAŞLIK"/>
    <w:rsid w:val="00825CC7"/>
    <w:pPr>
      <w:pBdr>
        <w:top w:val="nil"/>
        <w:left w:val="nil"/>
        <w:bottom w:val="nil"/>
        <w:right w:val="nil"/>
        <w:between w:val="nil"/>
        <w:bar w:val="nil"/>
      </w:pBdr>
      <w:spacing w:after="160" w:line="360" w:lineRule="auto"/>
      <w:jc w:val="both"/>
    </w:pPr>
    <w:rPr>
      <w:rFonts w:ascii="Times New Roman" w:eastAsia="Arial Unicode MS" w:hAnsi="Arial Unicode MS" w:cs="Arial Unicode MS"/>
      <w:b/>
      <w:bCs/>
      <w:color w:val="000000"/>
      <w:u w:color="000000"/>
      <w:bdr w:val="nil"/>
    </w:rPr>
  </w:style>
  <w:style w:type="paragraph" w:customStyle="1" w:styleId="EndNoteBibliography">
    <w:name w:val="EndNote Bibliography"/>
    <w:basedOn w:val="Normal"/>
    <w:rsid w:val="00E34AD6"/>
    <w:rPr>
      <w:rFonts w:ascii="Cambria" w:hAnsi="Cambria"/>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ABALIK">
    <w:name w:val="ANA BAŞLIK"/>
    <w:rsid w:val="00825CC7"/>
    <w:pPr>
      <w:pBdr>
        <w:top w:val="nil"/>
        <w:left w:val="nil"/>
        <w:bottom w:val="nil"/>
        <w:right w:val="nil"/>
        <w:between w:val="nil"/>
        <w:bar w:val="nil"/>
      </w:pBdr>
      <w:spacing w:after="160" w:line="360" w:lineRule="auto"/>
      <w:jc w:val="both"/>
    </w:pPr>
    <w:rPr>
      <w:rFonts w:ascii="Times New Roman" w:eastAsia="Arial Unicode MS" w:hAnsi="Arial Unicode MS" w:cs="Arial Unicode MS"/>
      <w:b/>
      <w:bCs/>
      <w:color w:val="000000"/>
      <w:u w:color="000000"/>
      <w:bdr w:val="nil"/>
    </w:rPr>
  </w:style>
  <w:style w:type="paragraph" w:customStyle="1" w:styleId="EndNoteBibliography">
    <w:name w:val="EndNote Bibliography"/>
    <w:basedOn w:val="Normal"/>
    <w:rsid w:val="00E34AD6"/>
    <w:rPr>
      <w:rFonts w:ascii="Cambria" w:hAnsi="Cambr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250619">
      <w:bodyDiv w:val="1"/>
      <w:marLeft w:val="0"/>
      <w:marRight w:val="0"/>
      <w:marTop w:val="0"/>
      <w:marBottom w:val="0"/>
      <w:divBdr>
        <w:top w:val="none" w:sz="0" w:space="0" w:color="auto"/>
        <w:left w:val="none" w:sz="0" w:space="0" w:color="auto"/>
        <w:bottom w:val="none" w:sz="0" w:space="0" w:color="auto"/>
        <w:right w:val="none" w:sz="0" w:space="0" w:color="auto"/>
      </w:divBdr>
    </w:div>
    <w:div w:id="12169701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Nermin Hamdemirci</dc:creator>
  <cp:lastModifiedBy>Apme Reproductive 2018</cp:lastModifiedBy>
  <cp:revision>2</cp:revision>
  <dcterms:created xsi:type="dcterms:W3CDTF">2023-01-03T08:23:00Z</dcterms:created>
  <dcterms:modified xsi:type="dcterms:W3CDTF">2023-01-03T08:23:00Z</dcterms:modified>
</cp:coreProperties>
</file>