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C3A3C2" w14:textId="77777777" w:rsidR="001C2196" w:rsidRDefault="001C2196" w:rsidP="00BC3750">
      <w:pPr>
        <w:pStyle w:val="Heading1"/>
        <w:jc w:val="center"/>
      </w:pPr>
      <w:bookmarkStart w:id="0" w:name="_GoBack"/>
      <w:bookmarkEnd w:id="0"/>
      <w:r w:rsidRPr="006E775C">
        <w:t>Causes and clinical outcome of PRAKI in patients admitted to a tertiary care center of Northern India</w:t>
      </w:r>
    </w:p>
    <w:p w14:paraId="586E2902" w14:textId="77777777" w:rsidR="001C2196" w:rsidRPr="006E775C" w:rsidRDefault="001C2196" w:rsidP="001C2196">
      <w:pPr>
        <w:jc w:val="center"/>
        <w:rPr>
          <w:rFonts w:ascii="Times New Roman" w:hAnsi="Times New Roman" w:cs="Times New Roman"/>
          <w:sz w:val="24"/>
          <w:szCs w:val="24"/>
          <w:u w:val="single"/>
        </w:rPr>
      </w:pPr>
    </w:p>
    <w:p w14:paraId="4B1682D4" w14:textId="77777777" w:rsidR="001C2196" w:rsidRPr="001C2196" w:rsidRDefault="001C2196" w:rsidP="001C2196">
      <w:pPr>
        <w:pStyle w:val="BodyText"/>
        <w:rPr>
          <w:rFonts w:ascii="Arial"/>
          <w:b/>
          <w:bCs/>
        </w:rPr>
      </w:pPr>
      <w:proofErr w:type="spellStart"/>
      <w:r w:rsidRPr="001C2196">
        <w:rPr>
          <w:rFonts w:ascii="Arial"/>
          <w:b/>
          <w:bCs/>
        </w:rPr>
        <w:t>Medhavi</w:t>
      </w:r>
      <w:proofErr w:type="spellEnd"/>
      <w:r w:rsidRPr="001C2196">
        <w:rPr>
          <w:rFonts w:ascii="Arial"/>
          <w:b/>
          <w:bCs/>
        </w:rPr>
        <w:t xml:space="preserve"> </w:t>
      </w:r>
      <w:proofErr w:type="spellStart"/>
      <w:r w:rsidRPr="001C2196">
        <w:rPr>
          <w:rFonts w:ascii="Arial"/>
          <w:b/>
          <w:bCs/>
        </w:rPr>
        <w:t>Gautam</w:t>
      </w:r>
      <w:proofErr w:type="spellEnd"/>
      <w:r w:rsidRPr="001C2196">
        <w:rPr>
          <w:rFonts w:ascii="Arial"/>
          <w:b/>
          <w:bCs/>
        </w:rPr>
        <w:t>, Associate Professor, KGMU, India</w:t>
      </w:r>
    </w:p>
    <w:p w14:paraId="39A5CCB8" w14:textId="77777777" w:rsidR="001C2196" w:rsidRPr="001C2196" w:rsidRDefault="001C2196" w:rsidP="001C2196">
      <w:pPr>
        <w:pStyle w:val="BodyText"/>
        <w:rPr>
          <w:rFonts w:ascii="Arial"/>
          <w:b/>
          <w:bCs/>
        </w:rPr>
      </w:pPr>
      <w:r w:rsidRPr="001C2196">
        <w:rPr>
          <w:rFonts w:ascii="Arial"/>
          <w:b/>
          <w:bCs/>
        </w:rPr>
        <w:t xml:space="preserve">Armin Ahmed, Associate Professor, KGMU, India </w:t>
      </w:r>
    </w:p>
    <w:p w14:paraId="0856997F" w14:textId="77777777" w:rsidR="00AE3E37" w:rsidRDefault="00AE3E37">
      <w:pPr>
        <w:pStyle w:val="BodyText"/>
        <w:rPr>
          <w:rFonts w:ascii="Arial"/>
          <w:sz w:val="20"/>
        </w:rPr>
      </w:pPr>
    </w:p>
    <w:p w14:paraId="7D4B4CAC"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4CC95182" w14:textId="3F4DF099" w:rsidR="00AE3E37" w:rsidRDefault="00A9710C">
      <w:pPr>
        <w:pStyle w:val="Heading3"/>
        <w:spacing w:before="147"/>
        <w:jc w:val="both"/>
      </w:pPr>
      <w:r>
        <w:rPr>
          <w:color w:val="BF5A14"/>
        </w:rPr>
        <w:lastRenderedPageBreak/>
        <w:t>Abstract</w:t>
      </w:r>
      <w:r w:rsidR="001C2196">
        <w:rPr>
          <w:color w:val="BF5A14"/>
        </w:rPr>
        <w:t>:</w:t>
      </w:r>
    </w:p>
    <w:p w14:paraId="25654F59" w14:textId="0C35ACF7" w:rsidR="001C2196" w:rsidRPr="001C2196" w:rsidRDefault="001C2196" w:rsidP="001C2196">
      <w:pPr>
        <w:pStyle w:val="Heading3"/>
        <w:spacing w:before="74"/>
        <w:jc w:val="both"/>
        <w:rPr>
          <w:b w:val="0"/>
          <w:bCs w:val="0"/>
          <w:sz w:val="18"/>
          <w:szCs w:val="18"/>
        </w:rPr>
      </w:pPr>
      <w:r w:rsidRPr="001C2196">
        <w:rPr>
          <w:b w:val="0"/>
          <w:bCs w:val="0"/>
          <w:sz w:val="18"/>
          <w:szCs w:val="18"/>
          <w:u w:val="single"/>
        </w:rPr>
        <w:t>Statement of the problem</w:t>
      </w:r>
      <w:r w:rsidRPr="001C2196">
        <w:rPr>
          <w:b w:val="0"/>
          <w:bCs w:val="0"/>
          <w:sz w:val="18"/>
          <w:szCs w:val="18"/>
        </w:rPr>
        <w:t xml:space="preserve">: - For any country, maternal mortality is a crucial health indicator. Pregnancy-related acute kidney injury (PRAKI), one of the many causes of maternal mortality, is particularly concerning as the onset of acute kidney injury in an obstetric patient frequently heralds rapid clinical deterioration that necessitates the use of various types of life support and ICU admission. In literature, acute kidney </w:t>
      </w:r>
      <w:r w:rsidR="00D00863">
        <w:rPr>
          <w:b w:val="0"/>
          <w:bCs w:val="0"/>
          <w:sz w:val="18"/>
          <w:szCs w:val="18"/>
        </w:rPr>
        <w:t>injury</w:t>
      </w:r>
      <w:r w:rsidRPr="001C2196">
        <w:rPr>
          <w:b w:val="0"/>
          <w:bCs w:val="0"/>
          <w:sz w:val="18"/>
          <w:szCs w:val="18"/>
        </w:rPr>
        <w:t xml:space="preserve"> that occurs during pregnancy or within 42 days after delivery is referred to as PRAKI. There are regional differences in the PRAKI epidemiology. In </w:t>
      </w:r>
      <w:r w:rsidR="00D00863">
        <w:rPr>
          <w:b w:val="0"/>
          <w:bCs w:val="0"/>
          <w:sz w:val="18"/>
          <w:szCs w:val="18"/>
        </w:rPr>
        <w:t>developing</w:t>
      </w:r>
      <w:r w:rsidRPr="001C2196">
        <w:rPr>
          <w:b w:val="0"/>
          <w:bCs w:val="0"/>
          <w:sz w:val="18"/>
          <w:szCs w:val="18"/>
        </w:rPr>
        <w:t xml:space="preserve"> nations, sepsis, hemorrhage, and severe preeclampsia are the main causes of PRAKI, whereas in developed nations, diabetes, hypertension, and thrombotic microangiopathies are the main causes. Our study's goal was to identify the root causes of PRAKI and how they affected patients' clinical outcomes.</w:t>
      </w:r>
      <w:r w:rsidRPr="001C2196">
        <w:rPr>
          <w:b w:val="0"/>
          <w:bCs w:val="0"/>
          <w:sz w:val="18"/>
          <w:szCs w:val="18"/>
          <w:u w:val="single"/>
        </w:rPr>
        <w:t xml:space="preserve"> Methodology and Theoretical Orientation</w:t>
      </w:r>
      <w:r w:rsidRPr="001C2196">
        <w:rPr>
          <w:b w:val="0"/>
          <w:bCs w:val="0"/>
          <w:sz w:val="18"/>
          <w:szCs w:val="18"/>
        </w:rPr>
        <w:t xml:space="preserve">: - It was a prospective, observational study conducted in King George’s Medical University, Lucknow, India between 1 February 2021 to 30 April 2022. All obstetric patients presenting with acute kidney injury (as per KDIGO 2012 guidelines) were included. Their demographic variables, causes of PRAKI, Life support given (if required) and their outcomes were recorded in a case report form. Some patients also underwent renal biopsy as per the indication. The data </w:t>
      </w:r>
      <w:r w:rsidR="00D00863">
        <w:rPr>
          <w:b w:val="0"/>
          <w:bCs w:val="0"/>
          <w:sz w:val="18"/>
          <w:szCs w:val="18"/>
        </w:rPr>
        <w:t xml:space="preserve">of </w:t>
      </w:r>
      <w:r w:rsidRPr="001C2196">
        <w:rPr>
          <w:b w:val="0"/>
          <w:bCs w:val="0"/>
          <w:sz w:val="18"/>
          <w:szCs w:val="18"/>
        </w:rPr>
        <w:t xml:space="preserve">these patients were followed for a duration of 3 months. </w:t>
      </w:r>
      <w:r w:rsidRPr="001C2196">
        <w:rPr>
          <w:b w:val="0"/>
          <w:bCs w:val="0"/>
          <w:sz w:val="18"/>
          <w:szCs w:val="18"/>
          <w:u w:val="single"/>
        </w:rPr>
        <w:t>Findings:</w:t>
      </w:r>
      <w:r w:rsidRPr="001C2196">
        <w:rPr>
          <w:b w:val="0"/>
          <w:bCs w:val="0"/>
          <w:sz w:val="18"/>
          <w:szCs w:val="18"/>
        </w:rPr>
        <w:t xml:space="preserve"> - We found that, Pre- eclampsia/Eclampsia/HELLP were the most common causes accounting for 32.5% cases, which was followed by hemorrhagic shock (24. 7%) and sepsis (23.5%). We also found 24.7% mortality among PRAKI patients. </w:t>
      </w:r>
    </w:p>
    <w:p w14:paraId="3AA1D1F0" w14:textId="6CFCB343" w:rsidR="001C2196" w:rsidRPr="001C2196" w:rsidRDefault="001C2196" w:rsidP="001C2196">
      <w:pPr>
        <w:pStyle w:val="Heading3"/>
        <w:spacing w:before="74"/>
        <w:jc w:val="both"/>
        <w:rPr>
          <w:b w:val="0"/>
          <w:bCs w:val="0"/>
          <w:sz w:val="18"/>
          <w:szCs w:val="18"/>
        </w:rPr>
      </w:pPr>
      <w:r w:rsidRPr="001C2196">
        <w:rPr>
          <w:b w:val="0"/>
          <w:bCs w:val="0"/>
          <w:sz w:val="18"/>
          <w:szCs w:val="18"/>
          <w:u w:val="single"/>
        </w:rPr>
        <w:t>Conclusion and Significance:</w:t>
      </w:r>
      <w:r w:rsidRPr="001C2196">
        <w:rPr>
          <w:b w:val="0"/>
          <w:bCs w:val="0"/>
          <w:sz w:val="18"/>
          <w:szCs w:val="18"/>
        </w:rPr>
        <w:t xml:space="preserve"> - We discovered that individuals with PRAKI who require dialysis have a four times higher chance of </w:t>
      </w:r>
      <w:r w:rsidR="00D00863">
        <w:rPr>
          <w:b w:val="0"/>
          <w:bCs w:val="0"/>
          <w:sz w:val="18"/>
          <w:szCs w:val="18"/>
        </w:rPr>
        <w:t>death</w:t>
      </w:r>
      <w:r w:rsidRPr="001C2196">
        <w:rPr>
          <w:b w:val="0"/>
          <w:bCs w:val="0"/>
          <w:sz w:val="18"/>
          <w:szCs w:val="18"/>
        </w:rPr>
        <w:t xml:space="preserve"> than PRAKI patients who do not, and sepsis was the leading cause of death. Additionally, PRAKI patients in shock had the highest mortality rates (odds ratio 27.45; CI 3.39-222.49). These findings emphasize the necessity of transferring PRAKI patients to dialysis-capable facilities as soon as possible and also emphasize the significance of improving local prenatal care.</w:t>
      </w:r>
    </w:p>
    <w:p w14:paraId="6CFFBE66" w14:textId="77777777" w:rsidR="001C2196" w:rsidRPr="001C2196" w:rsidRDefault="001C2196" w:rsidP="001C2196">
      <w:pPr>
        <w:pStyle w:val="Heading3"/>
        <w:spacing w:before="74"/>
        <w:rPr>
          <w:sz w:val="18"/>
          <w:szCs w:val="18"/>
          <w:lang w:val="en-IN"/>
        </w:rPr>
      </w:pPr>
    </w:p>
    <w:p w14:paraId="1E943D78" w14:textId="39CA0803" w:rsidR="00AE3E37" w:rsidRDefault="00A9710C">
      <w:pPr>
        <w:pStyle w:val="Heading3"/>
        <w:spacing w:before="74"/>
      </w:pPr>
      <w:r>
        <w:rPr>
          <w:b w:val="0"/>
        </w:rPr>
        <w:br w:type="column"/>
      </w:r>
      <w:r w:rsidR="001C2196">
        <w:rPr>
          <w:color w:val="BF5A14"/>
        </w:rPr>
        <w:lastRenderedPageBreak/>
        <w:t>Image</w:t>
      </w:r>
    </w:p>
    <w:p w14:paraId="3806DAEB" w14:textId="0ADD57ED" w:rsidR="00AE3E37" w:rsidRDefault="001C2196">
      <w:pPr>
        <w:pStyle w:val="BodyText"/>
        <w:spacing w:before="2"/>
        <w:rPr>
          <w:rFonts w:ascii="Arial"/>
          <w:b/>
          <w:sz w:val="16"/>
        </w:rPr>
      </w:pPr>
      <w:r w:rsidRPr="00801729">
        <w:rPr>
          <w:rFonts w:cs="Times New Roman"/>
          <w:noProof/>
        </w:rPr>
        <w:drawing>
          <wp:inline distT="0" distB="0" distL="0" distR="0" wp14:anchorId="6882D7F7" wp14:editId="2BF7A137">
            <wp:extent cx="3165475" cy="1800618"/>
            <wp:effectExtent l="0" t="0" r="9525" b="15875"/>
            <wp:docPr id="2119579940" name="Chart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268B2A-7D1E-6569-7010-0F489FDA78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48769C1" w14:textId="07B7B5B2" w:rsidR="001C2196" w:rsidRDefault="005973B9" w:rsidP="001C2196">
      <w:pPr>
        <w:pStyle w:val="Heading3"/>
        <w:spacing w:before="147"/>
        <w:jc w:val="both"/>
        <w:rPr>
          <w:rFonts w:ascii="Tw Cen MT" w:hAnsi="Tw Cen MT"/>
          <w:sz w:val="18"/>
          <w:szCs w:val="18"/>
        </w:rPr>
      </w:pPr>
      <w:r>
        <w:rPr>
          <w:color w:val="BF5A14"/>
        </w:rPr>
        <w:br/>
      </w:r>
      <w:r w:rsidR="001C2196" w:rsidRPr="001C2196">
        <w:rPr>
          <w:color w:val="BF5A14"/>
        </w:rPr>
        <w:t>Recent Publications:</w:t>
      </w:r>
    </w:p>
    <w:p w14:paraId="29F0D7C6" w14:textId="77777777" w:rsidR="001C2196" w:rsidRPr="00CC0D3F" w:rsidRDefault="001C2196" w:rsidP="001C2196">
      <w:pPr>
        <w:pStyle w:val="ListParagraph"/>
        <w:widowControl/>
        <w:numPr>
          <w:ilvl w:val="0"/>
          <w:numId w:val="4"/>
        </w:numPr>
        <w:spacing w:before="0" w:after="200" w:line="276" w:lineRule="auto"/>
        <w:contextualSpacing/>
        <w:rPr>
          <w:rFonts w:ascii="Tw Cen MT" w:hAnsi="Tw Cen MT" w:cs="Times New Roman"/>
          <w:color w:val="000000" w:themeColor="text1"/>
          <w:sz w:val="18"/>
          <w:szCs w:val="18"/>
        </w:rPr>
      </w:pPr>
      <w:r w:rsidRPr="00CC0D3F">
        <w:rPr>
          <w:rFonts w:ascii="Tw Cen MT" w:hAnsi="Tw Cen MT" w:cs="Times New Roman"/>
          <w:color w:val="000000" w:themeColor="text1"/>
          <w:sz w:val="18"/>
          <w:szCs w:val="18"/>
          <w:shd w:val="clear" w:color="auto" w:fill="FFFFFF"/>
        </w:rPr>
        <w:t xml:space="preserve">Gautam M, Saxena S, Saran S, Ahmed A, Pandey A, Mishra P, Azim A. Etiology of Pregnancy-related Acute Kidney Injury among Obstetric Patients in India: A Systematic Review. Indian J Crit Care Med. 2022 Oct;26(10):1141-1151. </w:t>
      </w:r>
      <w:proofErr w:type="spellStart"/>
      <w:r w:rsidRPr="00CC0D3F">
        <w:rPr>
          <w:rFonts w:ascii="Tw Cen MT" w:hAnsi="Tw Cen MT" w:cs="Times New Roman"/>
          <w:color w:val="000000" w:themeColor="text1"/>
          <w:sz w:val="18"/>
          <w:szCs w:val="18"/>
          <w:shd w:val="clear" w:color="auto" w:fill="FFFFFF"/>
        </w:rPr>
        <w:t>doi</w:t>
      </w:r>
      <w:proofErr w:type="spellEnd"/>
      <w:r w:rsidRPr="00CC0D3F">
        <w:rPr>
          <w:rFonts w:ascii="Tw Cen MT" w:hAnsi="Tw Cen MT" w:cs="Times New Roman"/>
          <w:color w:val="000000" w:themeColor="text1"/>
          <w:sz w:val="18"/>
          <w:szCs w:val="18"/>
          <w:shd w:val="clear" w:color="auto" w:fill="FFFFFF"/>
        </w:rPr>
        <w:t>: 10.5005/jp-journals-10071-24325. PMID: 36876193; PMCID: PMC9983668.</w:t>
      </w:r>
    </w:p>
    <w:p w14:paraId="1792856C" w14:textId="77777777" w:rsidR="001C2196" w:rsidRPr="00CC0D3F" w:rsidRDefault="001C2196" w:rsidP="001C2196">
      <w:pPr>
        <w:pStyle w:val="ListParagraph"/>
        <w:widowControl/>
        <w:numPr>
          <w:ilvl w:val="0"/>
          <w:numId w:val="4"/>
        </w:numPr>
        <w:spacing w:before="0" w:after="200" w:line="276" w:lineRule="auto"/>
        <w:contextualSpacing/>
        <w:rPr>
          <w:rFonts w:ascii="Tw Cen MT" w:hAnsi="Tw Cen MT" w:cs="Times New Roman"/>
          <w:color w:val="000000" w:themeColor="text1"/>
          <w:sz w:val="18"/>
          <w:szCs w:val="18"/>
        </w:rPr>
      </w:pPr>
      <w:r w:rsidRPr="00CC0D3F">
        <w:rPr>
          <w:rFonts w:ascii="Tw Cen MT" w:hAnsi="Tw Cen MT" w:cs="Times New Roman"/>
          <w:color w:val="000000" w:themeColor="text1"/>
          <w:sz w:val="18"/>
          <w:szCs w:val="18"/>
          <w:shd w:val="clear" w:color="auto" w:fill="FFFFFF"/>
        </w:rPr>
        <w:t xml:space="preserve">Gautam M, Dandu H, </w:t>
      </w:r>
      <w:proofErr w:type="spellStart"/>
      <w:r w:rsidRPr="00CC0D3F">
        <w:rPr>
          <w:rFonts w:ascii="Tw Cen MT" w:hAnsi="Tw Cen MT" w:cs="Times New Roman"/>
          <w:color w:val="000000" w:themeColor="text1"/>
          <w:sz w:val="18"/>
          <w:szCs w:val="18"/>
          <w:shd w:val="clear" w:color="auto" w:fill="FFFFFF"/>
        </w:rPr>
        <w:t>Siddiqui</w:t>
      </w:r>
      <w:proofErr w:type="spellEnd"/>
      <w:r w:rsidRPr="00CC0D3F">
        <w:rPr>
          <w:rFonts w:ascii="Tw Cen MT" w:hAnsi="Tw Cen MT" w:cs="Times New Roman"/>
          <w:color w:val="000000" w:themeColor="text1"/>
          <w:sz w:val="18"/>
          <w:szCs w:val="18"/>
          <w:shd w:val="clear" w:color="auto" w:fill="FFFFFF"/>
        </w:rPr>
        <w:t xml:space="preserve"> SS, </w:t>
      </w:r>
      <w:proofErr w:type="spellStart"/>
      <w:r w:rsidRPr="00CC0D3F">
        <w:rPr>
          <w:rFonts w:ascii="Tw Cen MT" w:hAnsi="Tw Cen MT" w:cs="Times New Roman"/>
          <w:color w:val="000000" w:themeColor="text1"/>
          <w:sz w:val="18"/>
          <w:szCs w:val="18"/>
          <w:shd w:val="clear" w:color="auto" w:fill="FFFFFF"/>
        </w:rPr>
        <w:t>Atam</w:t>
      </w:r>
      <w:proofErr w:type="spellEnd"/>
      <w:r w:rsidRPr="00CC0D3F">
        <w:rPr>
          <w:rFonts w:ascii="Tw Cen MT" w:hAnsi="Tw Cen MT" w:cs="Times New Roman"/>
          <w:color w:val="000000" w:themeColor="text1"/>
          <w:sz w:val="18"/>
          <w:szCs w:val="18"/>
          <w:shd w:val="clear" w:color="auto" w:fill="FFFFFF"/>
        </w:rPr>
        <w:t xml:space="preserve"> V, </w:t>
      </w:r>
      <w:proofErr w:type="spellStart"/>
      <w:r w:rsidRPr="00CC0D3F">
        <w:rPr>
          <w:rFonts w:ascii="Tw Cen MT" w:hAnsi="Tw Cen MT" w:cs="Times New Roman"/>
          <w:color w:val="000000" w:themeColor="text1"/>
          <w:sz w:val="18"/>
          <w:szCs w:val="18"/>
          <w:shd w:val="clear" w:color="auto" w:fill="FFFFFF"/>
        </w:rPr>
        <w:t>Kumari</w:t>
      </w:r>
      <w:proofErr w:type="spellEnd"/>
      <w:r w:rsidRPr="00CC0D3F">
        <w:rPr>
          <w:rFonts w:ascii="Tw Cen MT" w:hAnsi="Tw Cen MT" w:cs="Times New Roman"/>
          <w:color w:val="000000" w:themeColor="text1"/>
          <w:sz w:val="18"/>
          <w:szCs w:val="18"/>
          <w:shd w:val="clear" w:color="auto" w:fill="FFFFFF"/>
        </w:rPr>
        <w:t xml:space="preserve"> S, Rathore S. Acute Methanol Toxicity: Clinical Correlation with Autopsy Findings, a Descriptive Study. J Assoc Physicians India. 2022 Jun;70(6):11-12. </w:t>
      </w:r>
      <w:proofErr w:type="spellStart"/>
      <w:r w:rsidRPr="00CC0D3F">
        <w:rPr>
          <w:rFonts w:ascii="Tw Cen MT" w:hAnsi="Tw Cen MT" w:cs="Times New Roman"/>
          <w:color w:val="000000" w:themeColor="text1"/>
          <w:sz w:val="18"/>
          <w:szCs w:val="18"/>
          <w:shd w:val="clear" w:color="auto" w:fill="FFFFFF"/>
        </w:rPr>
        <w:t>doi</w:t>
      </w:r>
      <w:proofErr w:type="spellEnd"/>
      <w:r w:rsidRPr="00CC0D3F">
        <w:rPr>
          <w:rFonts w:ascii="Tw Cen MT" w:hAnsi="Tw Cen MT" w:cs="Times New Roman"/>
          <w:color w:val="000000" w:themeColor="text1"/>
          <w:sz w:val="18"/>
          <w:szCs w:val="18"/>
          <w:shd w:val="clear" w:color="auto" w:fill="FFFFFF"/>
        </w:rPr>
        <w:t>: 10.5005/japi-11001-0025. PMID: 35702839</w:t>
      </w:r>
    </w:p>
    <w:p w14:paraId="6B154671" w14:textId="77777777" w:rsidR="001C2196" w:rsidRPr="00CC0D3F" w:rsidRDefault="001C2196" w:rsidP="001C2196">
      <w:pPr>
        <w:pStyle w:val="ListParagraph"/>
        <w:widowControl/>
        <w:numPr>
          <w:ilvl w:val="0"/>
          <w:numId w:val="4"/>
        </w:numPr>
        <w:spacing w:before="0" w:after="200" w:line="276" w:lineRule="auto"/>
        <w:contextualSpacing/>
        <w:rPr>
          <w:rFonts w:ascii="Tw Cen MT" w:hAnsi="Tw Cen MT" w:cs="Times New Roman"/>
          <w:color w:val="000000" w:themeColor="text1"/>
          <w:sz w:val="18"/>
          <w:szCs w:val="18"/>
        </w:rPr>
      </w:pPr>
      <w:r w:rsidRPr="00CC0D3F">
        <w:rPr>
          <w:rFonts w:ascii="Tw Cen MT" w:hAnsi="Tw Cen MT" w:cs="Times New Roman"/>
          <w:color w:val="000000" w:themeColor="text1"/>
          <w:sz w:val="18"/>
          <w:szCs w:val="18"/>
          <w:shd w:val="clear" w:color="auto" w:fill="FFFFFF"/>
        </w:rPr>
        <w:t xml:space="preserve">Sindhu S, </w:t>
      </w:r>
      <w:proofErr w:type="spellStart"/>
      <w:r w:rsidRPr="00CC0D3F">
        <w:rPr>
          <w:rFonts w:ascii="Tw Cen MT" w:hAnsi="Tw Cen MT" w:cs="Times New Roman"/>
          <w:color w:val="000000" w:themeColor="text1"/>
          <w:sz w:val="18"/>
          <w:szCs w:val="18"/>
          <w:shd w:val="clear" w:color="auto" w:fill="FFFFFF"/>
        </w:rPr>
        <w:t>Gautam</w:t>
      </w:r>
      <w:proofErr w:type="spellEnd"/>
      <w:r w:rsidRPr="00CC0D3F">
        <w:rPr>
          <w:rFonts w:ascii="Tw Cen MT" w:hAnsi="Tw Cen MT" w:cs="Times New Roman"/>
          <w:color w:val="000000" w:themeColor="text1"/>
          <w:sz w:val="18"/>
          <w:szCs w:val="18"/>
          <w:shd w:val="clear" w:color="auto" w:fill="FFFFFF"/>
        </w:rPr>
        <w:t xml:space="preserve"> M, </w:t>
      </w:r>
      <w:proofErr w:type="spellStart"/>
      <w:r w:rsidRPr="00CC0D3F">
        <w:rPr>
          <w:rFonts w:ascii="Tw Cen MT" w:hAnsi="Tw Cen MT" w:cs="Times New Roman"/>
          <w:color w:val="000000" w:themeColor="text1"/>
          <w:sz w:val="18"/>
          <w:szCs w:val="18"/>
          <w:shd w:val="clear" w:color="auto" w:fill="FFFFFF"/>
        </w:rPr>
        <w:t>Agrawal</w:t>
      </w:r>
      <w:proofErr w:type="spellEnd"/>
      <w:r w:rsidRPr="00CC0D3F">
        <w:rPr>
          <w:rFonts w:ascii="Tw Cen MT" w:hAnsi="Tw Cen MT" w:cs="Times New Roman"/>
          <w:color w:val="000000" w:themeColor="text1"/>
          <w:sz w:val="18"/>
          <w:szCs w:val="18"/>
          <w:shd w:val="clear" w:color="auto" w:fill="FFFFFF"/>
        </w:rPr>
        <w:t xml:space="preserve"> </w:t>
      </w:r>
      <w:proofErr w:type="spellStart"/>
      <w:r w:rsidRPr="00CC0D3F">
        <w:rPr>
          <w:rFonts w:ascii="Tw Cen MT" w:hAnsi="Tw Cen MT" w:cs="Times New Roman"/>
          <w:color w:val="000000" w:themeColor="text1"/>
          <w:sz w:val="18"/>
          <w:szCs w:val="18"/>
          <w:shd w:val="clear" w:color="auto" w:fill="FFFFFF"/>
        </w:rPr>
        <w:t>NK.Questionnaire</w:t>
      </w:r>
      <w:proofErr w:type="spellEnd"/>
      <w:r w:rsidRPr="00CC0D3F">
        <w:rPr>
          <w:rFonts w:ascii="Tw Cen MT" w:hAnsi="Tw Cen MT" w:cs="Times New Roman"/>
          <w:color w:val="000000" w:themeColor="text1"/>
          <w:sz w:val="18"/>
          <w:szCs w:val="18"/>
          <w:shd w:val="clear" w:color="auto" w:fill="FFFFFF"/>
        </w:rPr>
        <w:t xml:space="preserve"> Based Study to Explore the Barriers of Willingness and Ability to Work among Indian Doctors during Initial Phase of COVID-19 </w:t>
      </w:r>
      <w:proofErr w:type="spellStart"/>
      <w:r w:rsidRPr="00CC0D3F">
        <w:rPr>
          <w:rFonts w:ascii="Tw Cen MT" w:hAnsi="Tw Cen MT" w:cs="Times New Roman"/>
          <w:color w:val="000000" w:themeColor="text1"/>
          <w:sz w:val="18"/>
          <w:szCs w:val="18"/>
          <w:shd w:val="clear" w:color="auto" w:fill="FFFFFF"/>
        </w:rPr>
        <w:t>Pandemic.J</w:t>
      </w:r>
      <w:proofErr w:type="spellEnd"/>
      <w:r w:rsidRPr="00CC0D3F">
        <w:rPr>
          <w:rFonts w:ascii="Tw Cen MT" w:hAnsi="Tw Cen MT" w:cs="Times New Roman"/>
          <w:color w:val="000000" w:themeColor="text1"/>
          <w:sz w:val="18"/>
          <w:szCs w:val="18"/>
          <w:shd w:val="clear" w:color="auto" w:fill="FFFFFF"/>
        </w:rPr>
        <w:t xml:space="preserve"> </w:t>
      </w:r>
      <w:proofErr w:type="spellStart"/>
      <w:r w:rsidRPr="00CC0D3F">
        <w:rPr>
          <w:rFonts w:ascii="Tw Cen MT" w:hAnsi="Tw Cen MT" w:cs="Times New Roman"/>
          <w:color w:val="000000" w:themeColor="text1"/>
          <w:sz w:val="18"/>
          <w:szCs w:val="18"/>
          <w:shd w:val="clear" w:color="auto" w:fill="FFFFFF"/>
        </w:rPr>
        <w:t>Clin</w:t>
      </w:r>
      <w:proofErr w:type="spellEnd"/>
      <w:r w:rsidRPr="00CC0D3F">
        <w:rPr>
          <w:rFonts w:ascii="Tw Cen MT" w:hAnsi="Tw Cen MT" w:cs="Times New Roman"/>
          <w:color w:val="000000" w:themeColor="text1"/>
          <w:sz w:val="18"/>
          <w:szCs w:val="18"/>
          <w:shd w:val="clear" w:color="auto" w:fill="FFFFFF"/>
        </w:rPr>
        <w:t xml:space="preserve"> of </w:t>
      </w:r>
      <w:proofErr w:type="spellStart"/>
      <w:r w:rsidRPr="00CC0D3F">
        <w:rPr>
          <w:rFonts w:ascii="Tw Cen MT" w:hAnsi="Tw Cen MT" w:cs="Times New Roman"/>
          <w:color w:val="000000" w:themeColor="text1"/>
          <w:sz w:val="18"/>
          <w:szCs w:val="18"/>
          <w:shd w:val="clear" w:color="auto" w:fill="FFFFFF"/>
        </w:rPr>
        <w:t>Diagn</w:t>
      </w:r>
      <w:proofErr w:type="spellEnd"/>
      <w:r w:rsidRPr="00CC0D3F">
        <w:rPr>
          <w:rFonts w:ascii="Tw Cen MT" w:hAnsi="Tw Cen MT" w:cs="Times New Roman"/>
          <w:color w:val="000000" w:themeColor="text1"/>
          <w:sz w:val="18"/>
          <w:szCs w:val="18"/>
          <w:shd w:val="clear" w:color="auto" w:fill="FFFFFF"/>
        </w:rPr>
        <w:t xml:space="preserve"> Res.2021; 15(9):IC01- IC05. </w:t>
      </w:r>
      <w:hyperlink r:id="rId10" w:history="1">
        <w:r w:rsidRPr="00CC0D3F">
          <w:rPr>
            <w:rStyle w:val="Hyperlink"/>
            <w:rFonts w:ascii="Tw Cen MT" w:hAnsi="Tw Cen MT" w:cs="Times New Roman"/>
            <w:color w:val="000000" w:themeColor="text1"/>
            <w:sz w:val="18"/>
            <w:szCs w:val="18"/>
            <w:shd w:val="clear" w:color="auto" w:fill="FFFFFF"/>
          </w:rPr>
          <w:t>https://www.doi.org/10.7860/JCDR/2021/49697/15333</w:t>
        </w:r>
      </w:hyperlink>
    </w:p>
    <w:p w14:paraId="2A3C3E76" w14:textId="77777777" w:rsidR="001C2196" w:rsidRPr="00CC0D3F" w:rsidRDefault="001C2196" w:rsidP="001C2196">
      <w:pPr>
        <w:pStyle w:val="ListParagraph"/>
        <w:widowControl/>
        <w:numPr>
          <w:ilvl w:val="0"/>
          <w:numId w:val="4"/>
        </w:numPr>
        <w:spacing w:before="180" w:after="180" w:line="240" w:lineRule="auto"/>
        <w:contextualSpacing/>
        <w:rPr>
          <w:rFonts w:ascii="Tw Cen MT" w:eastAsia="Times New Roman" w:hAnsi="Tw Cen MT" w:cs="Times New Roman"/>
          <w:color w:val="000000" w:themeColor="text1"/>
          <w:sz w:val="18"/>
          <w:szCs w:val="18"/>
          <w:lang w:val="en-IN" w:eastAsia="en-GB"/>
        </w:rPr>
      </w:pPr>
      <w:r w:rsidRPr="00CC0D3F">
        <w:rPr>
          <w:rFonts w:ascii="Tw Cen MT" w:eastAsia="Times New Roman" w:hAnsi="Tw Cen MT" w:cs="Times New Roman"/>
          <w:color w:val="000000" w:themeColor="text1"/>
          <w:sz w:val="18"/>
          <w:szCs w:val="18"/>
          <w:lang w:val="en-IN" w:eastAsia="en-GB"/>
        </w:rPr>
        <w:t xml:space="preserve">Sindhu S, Gautam M, Agrawal NK. Working scenario of doctors during early days of coronavirus disease 2019 in India: Lessons for future. </w:t>
      </w:r>
      <w:proofErr w:type="spellStart"/>
      <w:r w:rsidRPr="00CC0D3F">
        <w:rPr>
          <w:rFonts w:ascii="Tw Cen MT" w:eastAsia="Times New Roman" w:hAnsi="Tw Cen MT" w:cs="Times New Roman"/>
          <w:color w:val="000000" w:themeColor="text1"/>
          <w:sz w:val="18"/>
          <w:szCs w:val="18"/>
          <w:lang w:val="en-IN" w:eastAsia="en-GB"/>
        </w:rPr>
        <w:t>Natl</w:t>
      </w:r>
      <w:proofErr w:type="spellEnd"/>
      <w:r w:rsidRPr="00CC0D3F">
        <w:rPr>
          <w:rFonts w:ascii="Tw Cen MT" w:eastAsia="Times New Roman" w:hAnsi="Tw Cen MT" w:cs="Times New Roman"/>
          <w:color w:val="000000" w:themeColor="text1"/>
          <w:sz w:val="18"/>
          <w:szCs w:val="18"/>
          <w:lang w:val="en-IN" w:eastAsia="en-GB"/>
        </w:rPr>
        <w:t xml:space="preserve"> J </w:t>
      </w:r>
      <w:proofErr w:type="spellStart"/>
      <w:r w:rsidRPr="00CC0D3F">
        <w:rPr>
          <w:rFonts w:ascii="Tw Cen MT" w:eastAsia="Times New Roman" w:hAnsi="Tw Cen MT" w:cs="Times New Roman"/>
          <w:color w:val="000000" w:themeColor="text1"/>
          <w:sz w:val="18"/>
          <w:szCs w:val="18"/>
          <w:lang w:val="en-IN" w:eastAsia="en-GB"/>
        </w:rPr>
        <w:t>Physiol</w:t>
      </w:r>
      <w:proofErr w:type="spellEnd"/>
      <w:r w:rsidRPr="00CC0D3F">
        <w:rPr>
          <w:rFonts w:ascii="Tw Cen MT" w:eastAsia="Times New Roman" w:hAnsi="Tw Cen MT" w:cs="Times New Roman"/>
          <w:color w:val="000000" w:themeColor="text1"/>
          <w:sz w:val="18"/>
          <w:szCs w:val="18"/>
          <w:lang w:val="en-IN" w:eastAsia="en-GB"/>
        </w:rPr>
        <w:t xml:space="preserve"> Pharm </w:t>
      </w:r>
      <w:proofErr w:type="spellStart"/>
      <w:r w:rsidRPr="00CC0D3F">
        <w:rPr>
          <w:rFonts w:ascii="Tw Cen MT" w:eastAsia="Times New Roman" w:hAnsi="Tw Cen MT" w:cs="Times New Roman"/>
          <w:color w:val="000000" w:themeColor="text1"/>
          <w:sz w:val="18"/>
          <w:szCs w:val="18"/>
          <w:lang w:val="en-IN" w:eastAsia="en-GB"/>
        </w:rPr>
        <w:t>Pharmacol</w:t>
      </w:r>
      <w:proofErr w:type="spellEnd"/>
      <w:r w:rsidRPr="00CC0D3F">
        <w:rPr>
          <w:rFonts w:ascii="Tw Cen MT" w:eastAsia="Times New Roman" w:hAnsi="Tw Cen MT" w:cs="Times New Roman"/>
          <w:color w:val="000000" w:themeColor="text1"/>
          <w:sz w:val="18"/>
          <w:szCs w:val="18"/>
          <w:lang w:val="en-IN" w:eastAsia="en-GB"/>
        </w:rPr>
        <w:t>. (2021), [cited April 01, 2023]; 11(9): 949-954. </w:t>
      </w:r>
      <w:hyperlink r:id="rId11" w:tgtFrame="_blank" w:history="1">
        <w:r w:rsidRPr="00CC0D3F">
          <w:rPr>
            <w:rFonts w:ascii="Tw Cen MT" w:eastAsia="Times New Roman" w:hAnsi="Tw Cen MT" w:cs="Times New Roman"/>
            <w:color w:val="000000" w:themeColor="text1"/>
            <w:sz w:val="18"/>
            <w:szCs w:val="18"/>
            <w:u w:val="single"/>
            <w:lang w:val="en-IN" w:eastAsia="en-GB"/>
          </w:rPr>
          <w:t>doi:10.5455/njppp.2021.11.01018202101042021</w:t>
        </w:r>
      </w:hyperlink>
    </w:p>
    <w:p w14:paraId="6434ED70" w14:textId="77777777" w:rsidR="001C2196" w:rsidRDefault="001C2196" w:rsidP="001C2196">
      <w:pPr>
        <w:pStyle w:val="ListParagraph"/>
        <w:widowControl/>
        <w:numPr>
          <w:ilvl w:val="0"/>
          <w:numId w:val="4"/>
        </w:numPr>
        <w:spacing w:before="0" w:after="200" w:line="276" w:lineRule="auto"/>
        <w:contextualSpacing/>
        <w:rPr>
          <w:rStyle w:val="Hyperlink"/>
          <w:rFonts w:ascii="Tw Cen MT" w:hAnsi="Tw Cen MT" w:cs="Times New Roman"/>
          <w:color w:val="000000" w:themeColor="text1"/>
          <w:sz w:val="18"/>
          <w:szCs w:val="18"/>
        </w:rPr>
      </w:pPr>
      <w:proofErr w:type="spellStart"/>
      <w:r w:rsidRPr="00CC0D3F">
        <w:rPr>
          <w:rFonts w:ascii="Tw Cen MT" w:hAnsi="Tw Cen MT" w:cs="Times New Roman"/>
          <w:color w:val="000000" w:themeColor="text1"/>
          <w:sz w:val="18"/>
          <w:szCs w:val="18"/>
          <w:shd w:val="clear" w:color="auto" w:fill="FFFFFF"/>
        </w:rPr>
        <w:t>Satyendra</w:t>
      </w:r>
      <w:proofErr w:type="spellEnd"/>
      <w:r w:rsidRPr="00CC0D3F">
        <w:rPr>
          <w:rFonts w:ascii="Tw Cen MT" w:hAnsi="Tw Cen MT" w:cs="Times New Roman"/>
          <w:color w:val="000000" w:themeColor="text1"/>
          <w:sz w:val="18"/>
          <w:szCs w:val="18"/>
          <w:shd w:val="clear" w:color="auto" w:fill="FFFFFF"/>
        </w:rPr>
        <w:t xml:space="preserve"> Kumar </w:t>
      </w:r>
      <w:proofErr w:type="spellStart"/>
      <w:r w:rsidRPr="00CC0D3F">
        <w:rPr>
          <w:rFonts w:ascii="Tw Cen MT" w:hAnsi="Tw Cen MT" w:cs="Times New Roman"/>
          <w:color w:val="000000" w:themeColor="text1"/>
          <w:sz w:val="18"/>
          <w:szCs w:val="18"/>
          <w:shd w:val="clear" w:color="auto" w:fill="FFFFFF"/>
        </w:rPr>
        <w:t>Sonkar</w:t>
      </w:r>
      <w:proofErr w:type="spellEnd"/>
      <w:r w:rsidRPr="00CC0D3F">
        <w:rPr>
          <w:rFonts w:ascii="Tw Cen MT" w:hAnsi="Tw Cen MT" w:cs="Times New Roman"/>
          <w:color w:val="000000" w:themeColor="text1"/>
          <w:sz w:val="18"/>
          <w:szCs w:val="18"/>
          <w:shd w:val="clear" w:color="auto" w:fill="FFFFFF"/>
        </w:rPr>
        <w:t xml:space="preserve"> </w:t>
      </w:r>
      <w:proofErr w:type="gramStart"/>
      <w:r w:rsidRPr="00CC0D3F">
        <w:rPr>
          <w:rFonts w:ascii="Tw Cen MT" w:hAnsi="Tw Cen MT" w:cs="Times New Roman"/>
          <w:color w:val="000000" w:themeColor="text1"/>
          <w:sz w:val="18"/>
          <w:szCs w:val="18"/>
          <w:shd w:val="clear" w:color="auto" w:fill="FFFFFF"/>
        </w:rPr>
        <w:t>et</w:t>
      </w:r>
      <w:proofErr w:type="gramEnd"/>
      <w:r w:rsidRPr="00CC0D3F">
        <w:rPr>
          <w:rFonts w:ascii="Tw Cen MT" w:hAnsi="Tw Cen MT" w:cs="Times New Roman"/>
          <w:color w:val="000000" w:themeColor="text1"/>
          <w:sz w:val="18"/>
          <w:szCs w:val="18"/>
          <w:shd w:val="clear" w:color="auto" w:fill="FFFFFF"/>
        </w:rPr>
        <w:t xml:space="preserve"> al.2019, Clinical, Biochemical and Radiological Features of Swine Flu Pandemic in a Tertiary Care Centre of Northern India In 2017 – 2018. Assam. Int J Recent Sci Res. 10(08), pp. 34338-34342.</w:t>
      </w:r>
      <w:r w:rsidRPr="00CC0D3F">
        <w:rPr>
          <w:rFonts w:ascii="Tw Cen MT" w:hAnsi="Tw Cen MT" w:cs="Times New Roman"/>
          <w:color w:val="000000" w:themeColor="text1"/>
          <w:sz w:val="18"/>
          <w:szCs w:val="18"/>
        </w:rPr>
        <w:br/>
      </w:r>
      <w:r w:rsidRPr="00CC0D3F">
        <w:rPr>
          <w:rFonts w:ascii="Tw Cen MT" w:hAnsi="Tw Cen MT" w:cs="Times New Roman"/>
          <w:color w:val="000000" w:themeColor="text1"/>
          <w:sz w:val="18"/>
          <w:szCs w:val="18"/>
          <w:shd w:val="clear" w:color="auto" w:fill="FFFFFF"/>
        </w:rPr>
        <w:t>DOI:</w:t>
      </w:r>
      <w:r w:rsidRPr="00CC0D3F">
        <w:rPr>
          <w:rStyle w:val="apple-converted-space"/>
          <w:rFonts w:ascii="Tw Cen MT" w:hAnsi="Tw Cen MT" w:cs="Times New Roman"/>
          <w:color w:val="000000" w:themeColor="text1"/>
          <w:sz w:val="18"/>
          <w:szCs w:val="18"/>
          <w:shd w:val="clear" w:color="auto" w:fill="FFFFFF"/>
        </w:rPr>
        <w:t> </w:t>
      </w:r>
      <w:hyperlink r:id="rId12" w:tooltip="http://dx.doi.org/10.24327/ijrsr.2019.1008.3872" w:history="1">
        <w:r w:rsidRPr="00CC0D3F">
          <w:rPr>
            <w:rStyle w:val="Hyperlink"/>
            <w:rFonts w:ascii="Tw Cen MT" w:hAnsi="Tw Cen MT" w:cs="Times New Roman"/>
            <w:color w:val="000000" w:themeColor="text1"/>
            <w:sz w:val="18"/>
            <w:szCs w:val="18"/>
          </w:rPr>
          <w:t>http://dx.doi.org/10.24327/ijrsr.2019.1008.3872</w:t>
        </w:r>
      </w:hyperlink>
    </w:p>
    <w:p w14:paraId="231A36F8" w14:textId="5D85C0D8" w:rsidR="00AE3E37" w:rsidRPr="008756E6" w:rsidRDefault="00AE3E37" w:rsidP="001C2196">
      <w:pPr>
        <w:spacing w:line="204" w:lineRule="exact"/>
      </w:pPr>
    </w:p>
    <w:p w14:paraId="2E486881" w14:textId="77777777" w:rsidR="001C2196" w:rsidRDefault="008756E6">
      <w:pPr>
        <w:spacing w:line="200" w:lineRule="exact"/>
        <w:jc w:val="both"/>
        <w:rPr>
          <w:rFonts w:ascii="Calibri" w:hAnsi="Calibri"/>
        </w:rPr>
      </w:pPr>
      <w:r>
        <w:rPr>
          <w:rFonts w:ascii="Calibri" w:hAnsi="Calibri"/>
        </w:rPr>
        <w:t xml:space="preserve">  </w:t>
      </w:r>
    </w:p>
    <w:p w14:paraId="1B8E3FC5" w14:textId="77777777" w:rsidR="001C2196" w:rsidRDefault="001C2196">
      <w:pPr>
        <w:spacing w:line="200" w:lineRule="exact"/>
        <w:jc w:val="both"/>
        <w:rPr>
          <w:rFonts w:ascii="Calibri" w:hAnsi="Calibri"/>
        </w:rPr>
      </w:pPr>
    </w:p>
    <w:p w14:paraId="68832758" w14:textId="77777777" w:rsidR="001C2196" w:rsidRDefault="001C2196">
      <w:pPr>
        <w:spacing w:line="200" w:lineRule="exact"/>
        <w:jc w:val="both"/>
        <w:rPr>
          <w:rFonts w:ascii="Calibri" w:hAnsi="Calibri"/>
        </w:rPr>
      </w:pPr>
    </w:p>
    <w:p w14:paraId="4F64FC38" w14:textId="77777777" w:rsidR="001C2196" w:rsidRDefault="001C2196">
      <w:pPr>
        <w:spacing w:line="200" w:lineRule="exact"/>
        <w:jc w:val="both"/>
        <w:rPr>
          <w:rFonts w:ascii="Calibri" w:hAnsi="Calibri"/>
        </w:rPr>
      </w:pPr>
    </w:p>
    <w:p w14:paraId="04603BB4" w14:textId="77777777" w:rsidR="001C2196" w:rsidRDefault="001C2196">
      <w:pPr>
        <w:spacing w:line="200" w:lineRule="exact"/>
        <w:jc w:val="both"/>
        <w:rPr>
          <w:rFonts w:ascii="Calibri" w:hAnsi="Calibri"/>
        </w:rPr>
      </w:pPr>
    </w:p>
    <w:p w14:paraId="5B8AAD56" w14:textId="77777777" w:rsidR="001C2196" w:rsidRDefault="001C2196">
      <w:pPr>
        <w:spacing w:line="200" w:lineRule="exact"/>
        <w:jc w:val="both"/>
        <w:rPr>
          <w:rFonts w:ascii="Calibri" w:hAnsi="Calibri"/>
        </w:rPr>
      </w:pPr>
    </w:p>
    <w:p w14:paraId="1DCCCA5E" w14:textId="77777777" w:rsidR="001C2196" w:rsidRDefault="001C2196">
      <w:pPr>
        <w:spacing w:line="200" w:lineRule="exact"/>
        <w:jc w:val="both"/>
        <w:rPr>
          <w:rFonts w:ascii="Calibri" w:hAnsi="Calibri"/>
        </w:rPr>
      </w:pPr>
    </w:p>
    <w:p w14:paraId="3C855512" w14:textId="77777777" w:rsidR="001C2196" w:rsidRDefault="001C2196">
      <w:pPr>
        <w:spacing w:line="200" w:lineRule="exact"/>
        <w:jc w:val="both"/>
        <w:rPr>
          <w:rFonts w:ascii="Calibri" w:hAnsi="Calibri"/>
        </w:rPr>
      </w:pPr>
    </w:p>
    <w:p w14:paraId="1DA3B7CB" w14:textId="77777777" w:rsidR="001C2196" w:rsidRDefault="001C2196">
      <w:pPr>
        <w:spacing w:line="200" w:lineRule="exact"/>
        <w:jc w:val="both"/>
        <w:rPr>
          <w:rFonts w:ascii="Calibri" w:hAnsi="Calibri"/>
        </w:rPr>
      </w:pPr>
    </w:p>
    <w:p w14:paraId="0E35C06A" w14:textId="77777777" w:rsidR="001C2196" w:rsidRDefault="001C2196">
      <w:pPr>
        <w:spacing w:line="200" w:lineRule="exact"/>
        <w:jc w:val="both"/>
        <w:rPr>
          <w:rFonts w:ascii="Calibri" w:hAnsi="Calibri"/>
        </w:rPr>
      </w:pPr>
    </w:p>
    <w:p w14:paraId="4BDF9C9D" w14:textId="77777777" w:rsidR="001C2196" w:rsidRDefault="001C2196">
      <w:pPr>
        <w:spacing w:line="200" w:lineRule="exact"/>
        <w:jc w:val="both"/>
        <w:rPr>
          <w:rFonts w:ascii="Calibri" w:hAnsi="Calibri"/>
        </w:rPr>
      </w:pPr>
    </w:p>
    <w:p w14:paraId="68C4D1AB" w14:textId="77777777" w:rsidR="001C2196" w:rsidRDefault="001C2196">
      <w:pPr>
        <w:spacing w:line="200" w:lineRule="exact"/>
        <w:jc w:val="both"/>
        <w:rPr>
          <w:rFonts w:ascii="Calibri" w:hAnsi="Calibri"/>
        </w:rPr>
      </w:pPr>
    </w:p>
    <w:p w14:paraId="0E2E9998" w14:textId="77777777" w:rsidR="001C2196" w:rsidRDefault="001C2196">
      <w:pPr>
        <w:spacing w:line="200" w:lineRule="exact"/>
        <w:jc w:val="both"/>
        <w:rPr>
          <w:rFonts w:ascii="Calibri" w:hAnsi="Calibri"/>
        </w:rPr>
      </w:pPr>
    </w:p>
    <w:p w14:paraId="6E699209" w14:textId="77777777" w:rsidR="001C2196" w:rsidRDefault="001C2196">
      <w:pPr>
        <w:spacing w:line="200" w:lineRule="exact"/>
        <w:jc w:val="both"/>
        <w:rPr>
          <w:rFonts w:ascii="Calibri" w:hAnsi="Calibri"/>
        </w:rPr>
      </w:pPr>
    </w:p>
    <w:p w14:paraId="6E1A7E8A" w14:textId="231D2015" w:rsidR="00BC3750" w:rsidRDefault="00BC3750">
      <w:pPr>
        <w:spacing w:line="200" w:lineRule="exact"/>
        <w:jc w:val="both"/>
        <w:rPr>
          <w:rFonts w:ascii="Calibri" w:hAnsi="Calibri"/>
        </w:rPr>
      </w:pPr>
    </w:p>
    <w:p w14:paraId="674827F3" w14:textId="711F97C4" w:rsidR="00BC3750" w:rsidRDefault="00BC3750">
      <w:pPr>
        <w:spacing w:line="200" w:lineRule="exact"/>
        <w:jc w:val="both"/>
        <w:rPr>
          <w:rFonts w:ascii="Calibri" w:hAnsi="Calibri"/>
        </w:rPr>
      </w:pPr>
    </w:p>
    <w:p w14:paraId="468B4981" w14:textId="715BAA6C" w:rsidR="00BC3750" w:rsidRDefault="00BC3750">
      <w:pPr>
        <w:spacing w:line="200" w:lineRule="exact"/>
        <w:jc w:val="both"/>
        <w:rPr>
          <w:rFonts w:ascii="Calibri" w:hAnsi="Calibri"/>
        </w:rPr>
      </w:pPr>
    </w:p>
    <w:p w14:paraId="6A86823A" w14:textId="2A80A864" w:rsidR="00BC3750" w:rsidRDefault="00BC3750">
      <w:pPr>
        <w:spacing w:line="200" w:lineRule="exact"/>
        <w:jc w:val="both"/>
        <w:rPr>
          <w:rFonts w:ascii="Calibri" w:hAnsi="Calibri"/>
        </w:rPr>
      </w:pPr>
    </w:p>
    <w:p w14:paraId="167934C6" w14:textId="4C8DB48B" w:rsidR="00BC3750" w:rsidRDefault="00BC3750">
      <w:pPr>
        <w:spacing w:line="200" w:lineRule="exact"/>
        <w:jc w:val="both"/>
        <w:rPr>
          <w:rFonts w:ascii="Calibri" w:hAnsi="Calibri"/>
        </w:rPr>
      </w:pPr>
    </w:p>
    <w:p w14:paraId="3FBB9FAF" w14:textId="25879DB0"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1BE9E361" w14:textId="0E59AC21" w:rsidR="00AE3E37" w:rsidRDefault="00AE3E37">
      <w:pPr>
        <w:pStyle w:val="BodyText"/>
        <w:rPr>
          <w:rFonts w:ascii="Calibri"/>
          <w:sz w:val="20"/>
        </w:rPr>
      </w:pPr>
    </w:p>
    <w:p w14:paraId="76C4BBC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5FD4FE2" wp14:editId="7E2A2EC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CB025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20651C24" w14:textId="23CE1562" w:rsidR="00BC3750" w:rsidRDefault="00BC3750" w:rsidP="00404E5B">
      <w:pPr>
        <w:spacing w:before="92"/>
        <w:ind w:right="4234"/>
        <w:rPr>
          <w:noProof/>
        </w:rPr>
      </w:pPr>
      <w:r>
        <w:rPr>
          <w:noProof/>
        </w:rPr>
        <w:drawing>
          <wp:anchor distT="0" distB="0" distL="114300" distR="114300" simplePos="0" relativeHeight="251658240" behindDoc="0" locked="0" layoutInCell="1" allowOverlap="1" wp14:anchorId="41810F4B" wp14:editId="5A50AF78">
            <wp:simplePos x="0" y="0"/>
            <wp:positionH relativeFrom="margin">
              <wp:posOffset>5158740</wp:posOffset>
            </wp:positionH>
            <wp:positionV relativeFrom="margin">
              <wp:posOffset>963295</wp:posOffset>
            </wp:positionV>
            <wp:extent cx="1329690" cy="835660"/>
            <wp:effectExtent l="38100" t="38100" r="41910" b="40640"/>
            <wp:wrapSquare wrapText="bothSides"/>
            <wp:docPr id="12992219"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219" name="Picture 2" descr="Logo, company nam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29690" cy="835660"/>
                    </a:xfrm>
                    <a:prstGeom prst="rect">
                      <a:avLst/>
                    </a:prstGeom>
                    <a:ln w="28575">
                      <a:solidFill>
                        <a:srgbClr val="A9168A"/>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CA9BAB7" wp14:editId="18EAA8EA">
            <wp:simplePos x="0" y="0"/>
            <wp:positionH relativeFrom="margin">
              <wp:posOffset>0</wp:posOffset>
            </wp:positionH>
            <wp:positionV relativeFrom="margin">
              <wp:posOffset>865762</wp:posOffset>
            </wp:positionV>
            <wp:extent cx="903605" cy="933450"/>
            <wp:effectExtent l="12700" t="12700" r="10795" b="19050"/>
            <wp:wrapSquare wrapText="bothSides"/>
            <wp:docPr id="1438213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213798" name="Picture 143821379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03605" cy="933450"/>
                    </a:xfrm>
                    <a:prstGeom prst="rect">
                      <a:avLst/>
                    </a:prstGeom>
                    <a:ln>
                      <a:solidFill>
                        <a:schemeClr val="tx1"/>
                      </a:solidFill>
                    </a:ln>
                  </pic:spPr>
                </pic:pic>
              </a:graphicData>
            </a:graphic>
          </wp:anchor>
        </w:drawing>
      </w:r>
      <w:r w:rsidR="008756E6">
        <w:rPr>
          <w:noProof/>
        </w:rPr>
        <w:t xml:space="preserve">              </w:t>
      </w:r>
    </w:p>
    <w:p w14:paraId="23C82939" w14:textId="77777777" w:rsidR="00BC3750" w:rsidRDefault="00BC3750" w:rsidP="00404E5B">
      <w:pPr>
        <w:spacing w:before="92"/>
        <w:ind w:right="4234"/>
        <w:rPr>
          <w:rFonts w:ascii="Arial"/>
          <w:color w:val="BF5A14"/>
        </w:rPr>
      </w:pPr>
      <w:r>
        <w:rPr>
          <w:rFonts w:ascii="Arial"/>
          <w:color w:val="BF5A14"/>
        </w:rPr>
        <w:t xml:space="preserve">    </w:t>
      </w:r>
    </w:p>
    <w:p w14:paraId="25CBA021" w14:textId="77777777" w:rsidR="00BC3750" w:rsidRDefault="00BC3750" w:rsidP="00404E5B">
      <w:pPr>
        <w:spacing w:before="92"/>
        <w:ind w:right="4234"/>
        <w:rPr>
          <w:rFonts w:ascii="Arial"/>
          <w:color w:val="BF5A14"/>
        </w:rPr>
      </w:pPr>
    </w:p>
    <w:p w14:paraId="71177720" w14:textId="77777777" w:rsidR="00BC3750" w:rsidRDefault="00BC3750" w:rsidP="00404E5B">
      <w:pPr>
        <w:spacing w:before="92"/>
        <w:ind w:right="4234"/>
        <w:rPr>
          <w:rFonts w:ascii="Arial"/>
          <w:color w:val="BF5A14"/>
        </w:rPr>
      </w:pPr>
    </w:p>
    <w:p w14:paraId="7846F036" w14:textId="77777777" w:rsidR="00BC3750" w:rsidRDefault="00BC3750" w:rsidP="00404E5B">
      <w:pPr>
        <w:spacing w:before="92"/>
        <w:ind w:right="4234"/>
        <w:rPr>
          <w:rFonts w:ascii="Arial"/>
          <w:color w:val="BF5A14"/>
        </w:rPr>
      </w:pPr>
    </w:p>
    <w:p w14:paraId="7EC03D76" w14:textId="77777777" w:rsidR="00BC3750" w:rsidRDefault="00BC3750" w:rsidP="00404E5B">
      <w:pPr>
        <w:spacing w:before="92"/>
        <w:ind w:right="4234"/>
        <w:rPr>
          <w:rFonts w:ascii="Arial"/>
          <w:color w:val="BF5A14"/>
        </w:rPr>
      </w:pPr>
    </w:p>
    <w:p w14:paraId="769E2E13" w14:textId="77777777" w:rsidR="00BC3750" w:rsidRDefault="00BC3750" w:rsidP="00404E5B">
      <w:pPr>
        <w:spacing w:before="92"/>
        <w:ind w:right="4234"/>
        <w:rPr>
          <w:rFonts w:ascii="Arial"/>
          <w:color w:val="BF5A14"/>
        </w:rPr>
      </w:pPr>
    </w:p>
    <w:p w14:paraId="7465B72F" w14:textId="3002CDCE" w:rsidR="00AE3E37" w:rsidRDefault="00A9710C" w:rsidP="00404E5B">
      <w:pPr>
        <w:spacing w:before="92"/>
        <w:ind w:right="4234"/>
        <w:rPr>
          <w:rFonts w:ascii="Arial"/>
        </w:rPr>
      </w:pPr>
      <w:r>
        <w:rPr>
          <w:rFonts w:ascii="Arial"/>
          <w:color w:val="BF5A14"/>
        </w:rPr>
        <w:t>Biography</w:t>
      </w:r>
      <w:r w:rsidR="00BC3750">
        <w:rPr>
          <w:rFonts w:ascii="Arial"/>
          <w:color w:val="BF5A14"/>
        </w:rPr>
        <w:t>:</w:t>
      </w:r>
      <w:r w:rsidR="00BC3750">
        <w:rPr>
          <w:rFonts w:ascii="Arial"/>
          <w:color w:val="BF5A14"/>
        </w:rPr>
        <w:br/>
      </w:r>
      <w:r w:rsidR="00A52075" w:rsidRPr="00A52075">
        <w:rPr>
          <w:rFonts w:ascii="Times New Roman" w:hAnsi="Times New Roman" w:cs="Times New Roman"/>
          <w:sz w:val="24"/>
          <w:szCs w:val="24"/>
        </w:rPr>
        <w:t xml:space="preserve"> </w:t>
      </w:r>
    </w:p>
    <w:p w14:paraId="5F4CEC8C" w14:textId="05F7FC2B" w:rsidR="00BC3750" w:rsidRDefault="00BC3750" w:rsidP="00BC3750">
      <w:pPr>
        <w:rPr>
          <w:rFonts w:eastAsia="Arial" w:cs="Arial"/>
          <w:sz w:val="18"/>
          <w:szCs w:val="18"/>
        </w:rPr>
      </w:pPr>
      <w:r w:rsidRPr="00BC3750">
        <w:rPr>
          <w:rFonts w:eastAsia="Arial" w:cs="Arial"/>
          <w:sz w:val="18"/>
          <w:szCs w:val="18"/>
        </w:rPr>
        <w:t xml:space="preserve">Dr. </w:t>
      </w:r>
      <w:proofErr w:type="spellStart"/>
      <w:r w:rsidRPr="00BC3750">
        <w:rPr>
          <w:rFonts w:eastAsia="Arial" w:cs="Arial"/>
          <w:sz w:val="18"/>
          <w:szCs w:val="18"/>
        </w:rPr>
        <w:t>Medhavi</w:t>
      </w:r>
      <w:proofErr w:type="spellEnd"/>
      <w:r w:rsidRPr="00BC3750">
        <w:rPr>
          <w:rFonts w:eastAsia="Arial" w:cs="Arial"/>
          <w:sz w:val="18"/>
          <w:szCs w:val="18"/>
        </w:rPr>
        <w:t xml:space="preserve"> </w:t>
      </w:r>
      <w:proofErr w:type="spellStart"/>
      <w:r w:rsidRPr="00BC3750">
        <w:rPr>
          <w:rFonts w:eastAsia="Arial" w:cs="Arial"/>
          <w:sz w:val="18"/>
          <w:szCs w:val="18"/>
        </w:rPr>
        <w:t>Gautam</w:t>
      </w:r>
      <w:proofErr w:type="spellEnd"/>
      <w:r w:rsidRPr="00BC3750">
        <w:rPr>
          <w:rFonts w:eastAsia="Arial" w:cs="Arial"/>
          <w:sz w:val="18"/>
          <w:szCs w:val="18"/>
        </w:rPr>
        <w:t xml:space="preserve">, a proud mom of two toddlers, is working as an Associate </w:t>
      </w:r>
      <w:r w:rsidR="00D00863">
        <w:rPr>
          <w:rFonts w:eastAsia="Arial" w:cs="Arial"/>
          <w:sz w:val="18"/>
          <w:szCs w:val="18"/>
        </w:rPr>
        <w:t>Pr</w:t>
      </w:r>
      <w:r w:rsidRPr="00BC3750">
        <w:rPr>
          <w:rFonts w:eastAsia="Arial" w:cs="Arial"/>
          <w:sz w:val="18"/>
          <w:szCs w:val="18"/>
        </w:rPr>
        <w:t xml:space="preserve">ofessor in the Department of Internal Medicine at King George’s Medical University, Lucknow, India. She did her post-graduation in Internal Medicine and later gained expertise in the field of </w:t>
      </w:r>
      <w:r w:rsidR="00D00863">
        <w:rPr>
          <w:rFonts w:eastAsia="Arial" w:cs="Arial"/>
          <w:sz w:val="18"/>
          <w:szCs w:val="18"/>
        </w:rPr>
        <w:t>N</w:t>
      </w:r>
      <w:r w:rsidRPr="00BC3750">
        <w:rPr>
          <w:rFonts w:eastAsia="Arial" w:cs="Arial"/>
          <w:sz w:val="18"/>
          <w:szCs w:val="18"/>
        </w:rPr>
        <w:t xml:space="preserve">ephrology by completing her basic training of three years as a </w:t>
      </w:r>
      <w:r w:rsidR="00D00863">
        <w:rPr>
          <w:rFonts w:eastAsia="Arial" w:cs="Arial"/>
          <w:sz w:val="18"/>
          <w:szCs w:val="18"/>
        </w:rPr>
        <w:t>S</w:t>
      </w:r>
      <w:r w:rsidRPr="00BC3750">
        <w:rPr>
          <w:rFonts w:eastAsia="Arial" w:cs="Arial"/>
          <w:sz w:val="18"/>
          <w:szCs w:val="18"/>
        </w:rPr>
        <w:t xml:space="preserve">enior </w:t>
      </w:r>
      <w:r w:rsidR="00D00863">
        <w:rPr>
          <w:rFonts w:eastAsia="Arial" w:cs="Arial"/>
          <w:sz w:val="18"/>
          <w:szCs w:val="18"/>
        </w:rPr>
        <w:t>R</w:t>
      </w:r>
      <w:r w:rsidRPr="00BC3750">
        <w:rPr>
          <w:rFonts w:eastAsia="Arial" w:cs="Arial"/>
          <w:sz w:val="18"/>
          <w:szCs w:val="18"/>
        </w:rPr>
        <w:t>esident in the Department of Nephrology at the Sanjay Gandhi Post Graduate Institute of Medical Sciences, India. With her experience, she has distinguished herself in providing basic as well as advanced care to renal failure patients. In addition to her regular duties of running nephrology clinics, managing inpatients, and performing various procedures like renal biopsy and internal jugular catheter insertion</w:t>
      </w:r>
      <w:r w:rsidR="00D00863">
        <w:rPr>
          <w:rFonts w:eastAsia="Arial" w:cs="Arial"/>
          <w:sz w:val="18"/>
          <w:szCs w:val="18"/>
        </w:rPr>
        <w:t xml:space="preserve">; </w:t>
      </w:r>
      <w:r w:rsidRPr="00BC3750">
        <w:rPr>
          <w:rFonts w:eastAsia="Arial" w:cs="Arial"/>
          <w:sz w:val="18"/>
          <w:szCs w:val="18"/>
        </w:rPr>
        <w:t xml:space="preserve">she successfully manages to run various awareness </w:t>
      </w:r>
      <w:proofErr w:type="spellStart"/>
      <w:r w:rsidRPr="00BC3750">
        <w:rPr>
          <w:rFonts w:eastAsia="Arial" w:cs="Arial"/>
          <w:sz w:val="18"/>
          <w:szCs w:val="18"/>
        </w:rPr>
        <w:t>programmes</w:t>
      </w:r>
      <w:proofErr w:type="spellEnd"/>
      <w:r w:rsidRPr="00BC3750">
        <w:rPr>
          <w:rFonts w:eastAsia="Arial" w:cs="Arial"/>
          <w:sz w:val="18"/>
          <w:szCs w:val="18"/>
        </w:rPr>
        <w:t xml:space="preserve"> on different occasions (like World Kidney Day). She has been actively involved in starting a renal transplantation </w:t>
      </w:r>
      <w:proofErr w:type="spellStart"/>
      <w:r w:rsidRPr="00BC3750">
        <w:rPr>
          <w:rFonts w:eastAsia="Arial" w:cs="Arial"/>
          <w:sz w:val="18"/>
          <w:szCs w:val="18"/>
        </w:rPr>
        <w:t>programme</w:t>
      </w:r>
      <w:proofErr w:type="spellEnd"/>
      <w:r w:rsidRPr="00BC3750">
        <w:rPr>
          <w:rFonts w:eastAsia="Arial" w:cs="Arial"/>
          <w:sz w:val="18"/>
          <w:szCs w:val="18"/>
        </w:rPr>
        <w:t xml:space="preserve"> at her university, which is running successfully. Besides this, she finds it interesting to keep herself academically active by attending various conferences. She is currently pursuing a fellowship course in the “</w:t>
      </w:r>
      <w:proofErr w:type="spellStart"/>
      <w:r w:rsidRPr="00BC3750">
        <w:rPr>
          <w:rFonts w:eastAsia="Arial" w:cs="Arial"/>
          <w:sz w:val="18"/>
          <w:szCs w:val="18"/>
        </w:rPr>
        <w:t>Glomcon</w:t>
      </w:r>
      <w:proofErr w:type="spellEnd"/>
      <w:r w:rsidRPr="00BC3750">
        <w:rPr>
          <w:rFonts w:eastAsia="Arial" w:cs="Arial"/>
          <w:sz w:val="18"/>
          <w:szCs w:val="18"/>
        </w:rPr>
        <w:t xml:space="preserve"> 2022–2023 Virtual Fellowship </w:t>
      </w:r>
      <w:proofErr w:type="spellStart"/>
      <w:r w:rsidRPr="00BC3750">
        <w:rPr>
          <w:rFonts w:eastAsia="Arial" w:cs="Arial"/>
          <w:sz w:val="18"/>
          <w:szCs w:val="18"/>
        </w:rPr>
        <w:t>Programme</w:t>
      </w:r>
      <w:proofErr w:type="spellEnd"/>
      <w:r w:rsidRPr="00BC3750">
        <w:rPr>
          <w:rFonts w:eastAsia="Arial" w:cs="Arial"/>
          <w:sz w:val="18"/>
          <w:szCs w:val="18"/>
        </w:rPr>
        <w:t>”.</w:t>
      </w:r>
    </w:p>
    <w:p w14:paraId="505F63F8" w14:textId="77777777" w:rsidR="00D00863" w:rsidRPr="00BC3750" w:rsidRDefault="00D00863" w:rsidP="00BC3750">
      <w:pPr>
        <w:rPr>
          <w:rFonts w:eastAsia="Arial" w:cs="Arial"/>
          <w:sz w:val="18"/>
          <w:szCs w:val="18"/>
        </w:rPr>
      </w:pPr>
    </w:p>
    <w:p w14:paraId="4AAF0F77" w14:textId="7F5EA537" w:rsidR="00AE3E37" w:rsidRPr="00D00863" w:rsidRDefault="00BC3750" w:rsidP="00D00863">
      <w:pPr>
        <w:spacing w:before="62"/>
        <w:ind w:left="4217" w:right="4235"/>
        <w:rPr>
          <w:rFonts w:ascii="Arial"/>
          <w:sz w:val="15"/>
          <w:szCs w:val="15"/>
        </w:rPr>
      </w:pPr>
      <w:r w:rsidRPr="00D00863">
        <w:rPr>
          <w:sz w:val="15"/>
          <w:szCs w:val="15"/>
        </w:rPr>
        <w:t xml:space="preserve">Email: </w:t>
      </w:r>
      <w:hyperlink r:id="rId15" w:history="1">
        <w:r w:rsidRPr="00D00863">
          <w:rPr>
            <w:rStyle w:val="Hyperlink"/>
            <w:sz w:val="15"/>
            <w:szCs w:val="15"/>
          </w:rPr>
          <w:t>gautam.medhavi@gmail.com</w:t>
        </w:r>
      </w:hyperlink>
      <w:r w:rsidRPr="00D00863">
        <w:rPr>
          <w:sz w:val="15"/>
          <w:szCs w:val="15"/>
        </w:rPr>
        <w:t xml:space="preserve"> </w:t>
      </w:r>
      <w:r w:rsidR="00292ED9" w:rsidRPr="00D00863">
        <w:rPr>
          <w:noProof/>
          <w:sz w:val="15"/>
          <w:szCs w:val="15"/>
        </w:rPr>
        <mc:AlternateContent>
          <mc:Choice Requires="wps">
            <w:drawing>
              <wp:anchor distT="0" distB="0" distL="0" distR="0" simplePos="0" relativeHeight="1072" behindDoc="0" locked="0" layoutInCell="1" allowOverlap="1" wp14:anchorId="1259EC09" wp14:editId="1EC0BD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AF42BE5" w14:textId="1D01E7C3"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BC3750">
        <w:rPr>
          <w:sz w:val="20"/>
          <w:szCs w:val="20"/>
          <w:lang w:val="en-NZ"/>
        </w:rPr>
        <w:t>Dr.</w:t>
      </w:r>
      <w:proofErr w:type="spellEnd"/>
      <w:r w:rsidR="00BC3750">
        <w:rPr>
          <w:sz w:val="20"/>
          <w:szCs w:val="20"/>
          <w:lang w:val="en-NZ"/>
        </w:rPr>
        <w:t xml:space="preserve"> </w:t>
      </w:r>
      <w:proofErr w:type="spellStart"/>
      <w:r w:rsidR="00BC3750">
        <w:rPr>
          <w:sz w:val="20"/>
          <w:szCs w:val="20"/>
          <w:lang w:val="en-NZ"/>
        </w:rPr>
        <w:t>Medhavi</w:t>
      </w:r>
      <w:proofErr w:type="spellEnd"/>
      <w:r w:rsidR="00BC3750">
        <w:rPr>
          <w:sz w:val="20"/>
          <w:szCs w:val="20"/>
          <w:lang w:val="en-NZ"/>
        </w:rPr>
        <w:t xml:space="preserve"> </w:t>
      </w:r>
      <w:proofErr w:type="spellStart"/>
      <w:r w:rsidR="00BC3750">
        <w:rPr>
          <w:sz w:val="20"/>
          <w:szCs w:val="20"/>
          <w:lang w:val="en-NZ"/>
        </w:rPr>
        <w:t>Gautam</w:t>
      </w:r>
      <w:proofErr w:type="spellEnd"/>
      <w:r w:rsidRPr="00F35A62">
        <w:rPr>
          <w:sz w:val="20"/>
          <w:szCs w:val="20"/>
          <w:lang w:val="en-NZ"/>
        </w:rPr>
        <w:br/>
        <w:t>Contact number:</w:t>
      </w:r>
      <w:r w:rsidR="00BC3750">
        <w:rPr>
          <w:sz w:val="20"/>
          <w:szCs w:val="20"/>
          <w:lang w:val="en-NZ"/>
        </w:rPr>
        <w:t xml:space="preserve"> 9454717634</w:t>
      </w:r>
      <w:r w:rsidRPr="00F35A62">
        <w:rPr>
          <w:sz w:val="20"/>
          <w:szCs w:val="20"/>
          <w:lang w:val="en-NZ"/>
        </w:rPr>
        <w:br/>
        <w:t>Twitter account:</w:t>
      </w:r>
      <w:r w:rsidR="00BA2977">
        <w:rPr>
          <w:sz w:val="20"/>
          <w:szCs w:val="20"/>
          <w:lang w:val="en-NZ"/>
        </w:rPr>
        <w:t xml:space="preserve"> </w:t>
      </w:r>
      <w:proofErr w:type="spellStart"/>
      <w:r w:rsidR="00BA2977">
        <w:rPr>
          <w:sz w:val="20"/>
          <w:szCs w:val="20"/>
          <w:lang w:val="en-NZ"/>
        </w:rPr>
        <w:t>DrMedhavi_G</w:t>
      </w:r>
      <w:proofErr w:type="spellEnd"/>
      <w:r w:rsidRPr="00F35A62">
        <w:rPr>
          <w:sz w:val="20"/>
          <w:szCs w:val="20"/>
          <w:lang w:val="en-NZ"/>
        </w:rPr>
        <w:br/>
        <w:t>Linked In account:</w:t>
      </w:r>
      <w:r w:rsidR="00BA2977">
        <w:rPr>
          <w:sz w:val="20"/>
          <w:szCs w:val="20"/>
          <w:lang w:val="en-NZ"/>
        </w:rPr>
        <w:t>--</w:t>
      </w:r>
    </w:p>
    <w:p w14:paraId="7444A83C" w14:textId="6D24F4C3"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BA2977">
        <w:rPr>
          <w:sz w:val="20"/>
          <w:szCs w:val="20"/>
          <w:lang w:val="en-NZ"/>
        </w:rPr>
        <w:t>--</w:t>
      </w:r>
      <w:r w:rsidRPr="00F35A62">
        <w:rPr>
          <w:sz w:val="20"/>
          <w:szCs w:val="20"/>
          <w:lang w:val="en-NZ"/>
        </w:rPr>
        <w:br/>
        <w:t>Category: Poster presentation</w:t>
      </w:r>
      <w:r w:rsidRPr="00F35A62">
        <w:rPr>
          <w:sz w:val="20"/>
          <w:szCs w:val="20"/>
          <w:lang w:val="en-NZ"/>
        </w:rPr>
        <w:br/>
      </w:r>
    </w:p>
    <w:p w14:paraId="08F700E8"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06EA888B"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81EC07" w14:textId="77777777" w:rsidR="001019D0" w:rsidRDefault="001019D0">
      <w:r>
        <w:separator/>
      </w:r>
    </w:p>
  </w:endnote>
  <w:endnote w:type="continuationSeparator" w:id="0">
    <w:p w14:paraId="467CA9F6" w14:textId="77777777" w:rsidR="001019D0" w:rsidRDefault="00101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169AF6" w14:textId="441C8FCA"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05C605CC" wp14:editId="16C5215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5AC6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F4AF1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5C605CC"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" filled="f" stroked="f">
              <v:textbox inset="0,0,0,0">
                <w:txbxContent>
                  <w:p w14:paraId="4645AC6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F4AF1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ACE6F77" wp14:editId="3C97112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B1C8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D24E9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CE6F77"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" filled="f" stroked="f">
              <v:textbox inset="0,0,0,0">
                <w:txbxContent>
                  <w:p w14:paraId="6D8B1C8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D24E9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C2E861" w14:textId="77777777" w:rsidR="001019D0" w:rsidRDefault="001019D0">
      <w:r>
        <w:separator/>
      </w:r>
    </w:p>
  </w:footnote>
  <w:footnote w:type="continuationSeparator" w:id="0">
    <w:p w14:paraId="6084184A" w14:textId="77777777" w:rsidR="001019D0" w:rsidRDefault="001019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FB222F8"/>
    <w:multiLevelType w:val="hybridMultilevel"/>
    <w:tmpl w:val="3702B662"/>
    <w:lvl w:ilvl="0" w:tplc="FEAE184A">
      <w:start w:val="1"/>
      <w:numFmt w:val="decimal"/>
      <w:lvlText w:val="%1."/>
      <w:lvlJc w:val="left"/>
      <w:pPr>
        <w:ind w:left="720" w:hanging="360"/>
      </w:pPr>
      <w:rPr>
        <w:rFonts w:ascii="Segoe UI" w:hAnsi="Segoe UI" w:cs="Segoe UI"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019D0"/>
    <w:rsid w:val="001263DF"/>
    <w:rsid w:val="001C2196"/>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D4C3C"/>
    <w:rsid w:val="008E5477"/>
    <w:rsid w:val="009B2D44"/>
    <w:rsid w:val="009E3FC0"/>
    <w:rsid w:val="00A07E82"/>
    <w:rsid w:val="00A52075"/>
    <w:rsid w:val="00A9710C"/>
    <w:rsid w:val="00AE3E37"/>
    <w:rsid w:val="00B21A57"/>
    <w:rsid w:val="00BA2977"/>
    <w:rsid w:val="00BC3750"/>
    <w:rsid w:val="00BE6743"/>
    <w:rsid w:val="00C33602"/>
    <w:rsid w:val="00C56C74"/>
    <w:rsid w:val="00CD6F55"/>
    <w:rsid w:val="00D00863"/>
    <w:rsid w:val="00D05D95"/>
    <w:rsid w:val="00DE3104"/>
    <w:rsid w:val="00DE6170"/>
    <w:rsid w:val="00E30AAC"/>
    <w:rsid w:val="00E70F48"/>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E8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1C2196"/>
  </w:style>
  <w:style w:type="character" w:customStyle="1" w:styleId="UnresolvedMention">
    <w:name w:val="Unresolved Mention"/>
    <w:basedOn w:val="DefaultParagraphFont"/>
    <w:uiPriority w:val="99"/>
    <w:semiHidden/>
    <w:unhideWhenUsed/>
    <w:rsid w:val="00BC3750"/>
    <w:rPr>
      <w:color w:val="605E5C"/>
      <w:shd w:val="clear" w:color="auto" w:fill="E1DFDD"/>
    </w:rPr>
  </w:style>
  <w:style w:type="character" w:styleId="FollowedHyperlink">
    <w:name w:val="FollowedHyperlink"/>
    <w:basedOn w:val="DefaultParagraphFont"/>
    <w:uiPriority w:val="99"/>
    <w:semiHidden/>
    <w:unhideWhenUsed/>
    <w:rsid w:val="00D0086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1C2196"/>
  </w:style>
  <w:style w:type="character" w:customStyle="1" w:styleId="UnresolvedMention">
    <w:name w:val="Unresolved Mention"/>
    <w:basedOn w:val="DefaultParagraphFont"/>
    <w:uiPriority w:val="99"/>
    <w:semiHidden/>
    <w:unhideWhenUsed/>
    <w:rsid w:val="00BC3750"/>
    <w:rPr>
      <w:color w:val="605E5C"/>
      <w:shd w:val="clear" w:color="auto" w:fill="E1DFDD"/>
    </w:rPr>
  </w:style>
  <w:style w:type="character" w:styleId="FollowedHyperlink">
    <w:name w:val="FollowedHyperlink"/>
    <w:basedOn w:val="DefaultParagraphFont"/>
    <w:uiPriority w:val="99"/>
    <w:semiHidden/>
    <w:unhideWhenUsed/>
    <w:rsid w:val="00D008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x.doi.org/10.24327/ijrsr.2019.1008.387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x.doi.org/10.5455/njppp.2021.11.01018202101042021" TargetMode="External"/><Relationship Id="rId5" Type="http://schemas.openxmlformats.org/officeDocument/2006/relationships/webSettings" Target="webSettings.xml"/><Relationship Id="rId15" Type="http://schemas.openxmlformats.org/officeDocument/2006/relationships/hyperlink" Target="mailto:gautam.medhavi@gmail.com" TargetMode="External"/><Relationship Id="rId10" Type="http://schemas.openxmlformats.org/officeDocument/2006/relationships/hyperlink" Target="https://www.doi.org/10.7860/JCDR/2021/49697/15333"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3.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Users\medhavigautam\Documents\world%20nephrology%20conference%202023\Praki%20pie%20cha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Sheet1!$C$1</c:f>
              <c:strCache>
                <c:ptCount val="1"/>
                <c:pt idx="0">
                  <c:v>%</c:v>
                </c:pt>
              </c:strCache>
            </c:strRef>
          </c:tx>
          <c:dPt>
            <c:idx val="0"/>
            <c:bubble3D val="0"/>
            <c:spPr>
              <a:solidFill>
                <a:schemeClr val="accent1">
                  <a:alpha val="70000"/>
                </a:schemeClr>
              </a:solidFill>
              <a:ln>
                <a:noFill/>
              </a:ln>
              <a:effectLst/>
            </c:spPr>
            <c:extLst xmlns:c16r2="http://schemas.microsoft.com/office/drawing/2015/06/chart">
              <c:ext xmlns:c16="http://schemas.microsoft.com/office/drawing/2014/chart" uri="{C3380CC4-5D6E-409C-BE32-E72D297353CC}">
                <c16:uniqueId val="{00000001-CA3E-8F49-98EA-7D90FC506FFA}"/>
              </c:ext>
            </c:extLst>
          </c:dPt>
          <c:dPt>
            <c:idx val="1"/>
            <c:bubble3D val="0"/>
            <c:spPr>
              <a:solidFill>
                <a:schemeClr val="accent2">
                  <a:alpha val="70000"/>
                </a:schemeClr>
              </a:solidFill>
              <a:ln>
                <a:noFill/>
              </a:ln>
              <a:effectLst/>
            </c:spPr>
            <c:extLst xmlns:c16r2="http://schemas.microsoft.com/office/drawing/2015/06/chart">
              <c:ext xmlns:c16="http://schemas.microsoft.com/office/drawing/2014/chart" uri="{C3380CC4-5D6E-409C-BE32-E72D297353CC}">
                <c16:uniqueId val="{00000003-CA3E-8F49-98EA-7D90FC506FFA}"/>
              </c:ext>
            </c:extLst>
          </c:dPt>
          <c:dPt>
            <c:idx val="2"/>
            <c:bubble3D val="0"/>
            <c:spPr>
              <a:solidFill>
                <a:schemeClr val="accent3">
                  <a:alpha val="70000"/>
                </a:schemeClr>
              </a:solidFill>
              <a:ln>
                <a:noFill/>
              </a:ln>
              <a:effectLst/>
            </c:spPr>
            <c:extLst xmlns:c16r2="http://schemas.microsoft.com/office/drawing/2015/06/chart">
              <c:ext xmlns:c16="http://schemas.microsoft.com/office/drawing/2014/chart" uri="{C3380CC4-5D6E-409C-BE32-E72D297353CC}">
                <c16:uniqueId val="{00000005-CA3E-8F49-98EA-7D90FC506FFA}"/>
              </c:ext>
            </c:extLst>
          </c:dPt>
          <c:dPt>
            <c:idx val="3"/>
            <c:bubble3D val="0"/>
            <c:spPr>
              <a:solidFill>
                <a:schemeClr val="accent4">
                  <a:alpha val="70000"/>
                </a:schemeClr>
              </a:solidFill>
              <a:ln>
                <a:noFill/>
              </a:ln>
              <a:effectLst/>
            </c:spPr>
            <c:extLst xmlns:c16r2="http://schemas.microsoft.com/office/drawing/2015/06/chart">
              <c:ext xmlns:c16="http://schemas.microsoft.com/office/drawing/2014/chart" uri="{C3380CC4-5D6E-409C-BE32-E72D297353CC}">
                <c16:uniqueId val="{00000007-CA3E-8F49-98EA-7D90FC506FFA}"/>
              </c:ext>
            </c:extLst>
          </c:dPt>
          <c:dPt>
            <c:idx val="4"/>
            <c:bubble3D val="0"/>
            <c:spPr>
              <a:solidFill>
                <a:schemeClr val="accent5">
                  <a:alpha val="70000"/>
                </a:schemeClr>
              </a:solidFill>
              <a:ln>
                <a:noFill/>
              </a:ln>
              <a:effectLst/>
            </c:spPr>
            <c:extLst xmlns:c16r2="http://schemas.microsoft.com/office/drawing/2015/06/chart">
              <c:ext xmlns:c16="http://schemas.microsoft.com/office/drawing/2014/chart" uri="{C3380CC4-5D6E-409C-BE32-E72D297353CC}">
                <c16:uniqueId val="{00000009-CA3E-8F49-98EA-7D90FC506FFA}"/>
              </c:ext>
            </c:extLst>
          </c:dPt>
          <c:dPt>
            <c:idx val="5"/>
            <c:bubble3D val="0"/>
            <c:spPr>
              <a:solidFill>
                <a:schemeClr val="accent6">
                  <a:alpha val="70000"/>
                </a:schemeClr>
              </a:solidFill>
              <a:ln>
                <a:noFill/>
              </a:ln>
              <a:effectLst/>
            </c:spPr>
            <c:extLst xmlns:c16r2="http://schemas.microsoft.com/office/drawing/2015/06/chart">
              <c:ext xmlns:c16="http://schemas.microsoft.com/office/drawing/2014/chart" uri="{C3380CC4-5D6E-409C-BE32-E72D297353CC}">
                <c16:uniqueId val="{0000000B-CA3E-8F49-98EA-7D90FC506FFA}"/>
              </c:ext>
            </c:extLst>
          </c:dPt>
          <c:dPt>
            <c:idx val="6"/>
            <c:bubble3D val="0"/>
            <c:spPr>
              <a:solidFill>
                <a:schemeClr val="accent1">
                  <a:lumMod val="60000"/>
                  <a:alpha val="70000"/>
                </a:schemeClr>
              </a:solidFill>
              <a:ln>
                <a:noFill/>
              </a:ln>
              <a:effectLst/>
            </c:spPr>
            <c:extLst xmlns:c16r2="http://schemas.microsoft.com/office/drawing/2015/06/chart">
              <c:ext xmlns:c16="http://schemas.microsoft.com/office/drawing/2014/chart" uri="{C3380CC4-5D6E-409C-BE32-E72D297353CC}">
                <c16:uniqueId val="{0000000D-CA3E-8F49-98EA-7D90FC506FFA}"/>
              </c:ext>
            </c:extLst>
          </c:dPt>
          <c:dPt>
            <c:idx val="7"/>
            <c:bubble3D val="0"/>
            <c:spPr>
              <a:solidFill>
                <a:schemeClr val="accent2">
                  <a:lumMod val="60000"/>
                  <a:alpha val="70000"/>
                </a:schemeClr>
              </a:solidFill>
              <a:ln>
                <a:noFill/>
              </a:ln>
              <a:effectLst/>
            </c:spPr>
            <c:extLst xmlns:c16r2="http://schemas.microsoft.com/office/drawing/2015/06/chart">
              <c:ext xmlns:c16="http://schemas.microsoft.com/office/drawing/2014/chart" uri="{C3380CC4-5D6E-409C-BE32-E72D297353CC}">
                <c16:uniqueId val="{0000000F-CA3E-8F49-98EA-7D90FC506FFA}"/>
              </c:ext>
            </c:extLst>
          </c:dPt>
          <c:dLbls>
            <c:dLbl>
              <c:idx val="0"/>
              <c:layout>
                <c:manualLayout>
                  <c:x val="2.0459182251551702E-2"/>
                  <c:y val="0.15152190772642904"/>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fld id="{59DF1E1D-A4E4-6F4C-8156-9AF01B1FD64B}" type="CATEGORYNAME">
                      <a:rPr lang="en-US" sz="900">
                        <a:latin typeface="Tw Cen MT" panose="020B0602020104020603" pitchFamily="34" charset="77"/>
                      </a:rPr>
                      <a:pPr>
                        <a:defRPr sz="1000" b="0" i="0" u="none" strike="noStrike" kern="1200" baseline="0">
                          <a:solidFill>
                            <a:schemeClr val="accent1"/>
                          </a:solidFill>
                          <a:effectLst/>
                          <a:latin typeface="+mn-lt"/>
                          <a:ea typeface="+mn-ea"/>
                          <a:cs typeface="+mn-cs"/>
                        </a:defRPr>
                      </a:pPr>
                      <a:t>[CATEGORY NAME]</a:t>
                    </a:fld>
                    <a:r>
                      <a:rPr lang="en-US" sz="900" baseline="0">
                        <a:latin typeface="Tw Cen MT" panose="020B0602020104020603" pitchFamily="34" charset="77"/>
                      </a:rPr>
                      <a:t>
</a:t>
                    </a:r>
                    <a:fld id="{30BAEC92-23E8-1040-8E99-05C8552AE40E}" type="PERCENTAGE">
                      <a:rPr lang="en-US" sz="900" baseline="0">
                        <a:latin typeface="Tw Cen MT" panose="020B0602020104020603" pitchFamily="34" charset="77"/>
                      </a:rPr>
                      <a:pPr>
                        <a:defRPr sz="1000" b="0" i="0" u="none" strike="noStrike" kern="1200" baseline="0">
                          <a:solidFill>
                            <a:schemeClr val="accent1"/>
                          </a:solidFill>
                          <a:effectLst/>
                          <a:latin typeface="+mn-lt"/>
                          <a:ea typeface="+mn-ea"/>
                          <a:cs typeface="+mn-cs"/>
                        </a:defRPr>
                      </a:pPr>
                      <a:t>[PERCENTAGE]</a:t>
                    </a:fld>
                    <a:endParaRPr lang="en-US" sz="900" baseline="0">
                      <a:latin typeface="Tw Cen MT" panose="020B0602020104020603" pitchFamily="34" charset="77"/>
                    </a:endParaRPr>
                  </a:p>
                </c:rich>
              </c:tx>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2745572656376023"/>
                      <c:h val="0.19589151827243403"/>
                    </c:manualLayout>
                  </c15:layout>
                  <c15:dlblFieldTable/>
                  <c15:showDataLabelsRange val="0"/>
                </c:ext>
                <c:ext xmlns:c16="http://schemas.microsoft.com/office/drawing/2014/chart" uri="{C3380CC4-5D6E-409C-BE32-E72D297353CC}">
                  <c16:uniqueId val="{00000001-CA3E-8F49-98EA-7D90FC506FFA}"/>
                </c:ext>
              </c:extLst>
            </c:dLbl>
            <c:dLbl>
              <c:idx val="1"/>
              <c:layout>
                <c:manualLayout>
                  <c:x val="-2.0289331046685274E-3"/>
                  <c:y val="-8.9467256909138149E-2"/>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fld id="{6A5DC21F-F3EA-D449-8885-D3DB9BC972A9}" type="CATEGORYNAME">
                      <a:rPr lang="en-US" sz="900">
                        <a:latin typeface="Tw Cen MT" panose="020B0602020104020603" pitchFamily="34" charset="77"/>
                      </a:rPr>
                      <a:pPr>
                        <a:defRPr sz="1000" b="0" i="0" u="none" strike="noStrike" kern="1200" baseline="0">
                          <a:solidFill>
                            <a:schemeClr val="accent1"/>
                          </a:solidFill>
                          <a:effectLst/>
                          <a:latin typeface="+mn-lt"/>
                          <a:ea typeface="+mn-ea"/>
                          <a:cs typeface="+mn-cs"/>
                        </a:defRPr>
                      </a:pPr>
                      <a:t>[CATEGORY NAME]</a:t>
                    </a:fld>
                    <a:r>
                      <a:rPr lang="en-US" sz="900" baseline="0">
                        <a:latin typeface="Tw Cen MT" panose="020B0602020104020603" pitchFamily="34" charset="77"/>
                      </a:rPr>
                      <a:t>
</a:t>
                    </a:r>
                    <a:fld id="{727049C4-E2A7-5740-985F-A18E6EC04ABD}" type="PERCENTAGE">
                      <a:rPr lang="en-US" baseline="0"/>
                      <a:pPr>
                        <a:defRPr sz="1000" b="0" i="0" u="none" strike="noStrike" kern="1200" baseline="0">
                          <a:solidFill>
                            <a:schemeClr val="accent1"/>
                          </a:solidFill>
                          <a:effectLst/>
                          <a:latin typeface="+mn-lt"/>
                          <a:ea typeface="+mn-ea"/>
                          <a:cs typeface="+mn-cs"/>
                        </a:defRPr>
                      </a:pPr>
                      <a:t>[PERCENTAGE]</a:t>
                    </a:fld>
                    <a:endParaRPr lang="en-US" sz="900" baseline="0">
                      <a:latin typeface="Tw Cen MT" panose="020B0602020104020603" pitchFamily="34" charset="77"/>
                    </a:endParaRPr>
                  </a:p>
                </c:rich>
              </c:tx>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30227808255731387"/>
                      <c:h val="0.22053604793847084"/>
                    </c:manualLayout>
                  </c15:layout>
                  <c15:dlblFieldTable/>
                  <c15:showDataLabelsRange val="0"/>
                </c:ext>
                <c:ext xmlns:c16="http://schemas.microsoft.com/office/drawing/2014/chart" uri="{C3380CC4-5D6E-409C-BE32-E72D297353CC}">
                  <c16:uniqueId val="{00000003-CA3E-8F49-98EA-7D90FC506FFA}"/>
                </c:ext>
              </c:extLst>
            </c:dLbl>
            <c:dLbl>
              <c:idx val="2"/>
              <c:layout>
                <c:manualLayout>
                  <c:x val="-0.16321795932889202"/>
                  <c:y val="-4.8027785655032781E-2"/>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r>
                      <a:rPr lang="en-US" sz="900" baseline="0">
                        <a:latin typeface="Tw Cen MT" panose="020B0602020104020603" pitchFamily="34" charset="77"/>
                      </a:rPr>
                      <a:t>PE/HELLP
</a:t>
                    </a:r>
                    <a:fld id="{A7135B28-7113-994A-84EE-2DE54F805928}" type="PERCENTAGE">
                      <a:rPr lang="en-US" sz="900" baseline="0">
                        <a:latin typeface="Tw Cen MT" panose="020B0602020104020603" pitchFamily="34" charset="77"/>
                      </a:rPr>
                      <a:pPr>
                        <a:defRPr sz="1000" b="0" i="0" u="none" strike="noStrike" kern="1200" baseline="0">
                          <a:solidFill>
                            <a:schemeClr val="accent1"/>
                          </a:solidFill>
                          <a:effectLst/>
                          <a:latin typeface="+mn-lt"/>
                          <a:ea typeface="+mn-ea"/>
                          <a:cs typeface="+mn-cs"/>
                        </a:defRPr>
                      </a:pPr>
                      <a:t>[PERCENTAGE]</a:t>
                    </a:fld>
                    <a:endParaRPr lang="en-US" sz="900" baseline="0">
                      <a:latin typeface="Tw Cen MT" panose="020B0602020104020603" pitchFamily="34" charset="77"/>
                    </a:endParaRPr>
                  </a:p>
                </c:rich>
              </c:tx>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26990883750099876"/>
                      <c:h val="0.1691622693915196"/>
                    </c:manualLayout>
                  </c15:layout>
                  <c15:dlblFieldTable/>
                  <c15:showDataLabelsRange val="0"/>
                </c:ext>
                <c:ext xmlns:c16="http://schemas.microsoft.com/office/drawing/2014/chart" uri="{C3380CC4-5D6E-409C-BE32-E72D297353CC}">
                  <c16:uniqueId val="{00000005-CA3E-8F49-98EA-7D90FC506FFA}"/>
                </c:ext>
              </c:extLst>
            </c:dLbl>
            <c:dLbl>
              <c:idx val="3"/>
              <c:layout>
                <c:manualLayout>
                  <c:x val="8.0785598893886223E-4"/>
                  <c:y val="0.26008432508266133"/>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fld id="{89433F7B-A6CF-5341-A2CE-EFA73D5FC017}" type="CATEGORYNAME">
                      <a:rPr lang="en-US" sz="900">
                        <a:latin typeface="Tw Cen MT" panose="020B0602020104020603" pitchFamily="34" charset="77"/>
                      </a:rPr>
                      <a:pPr>
                        <a:defRPr sz="1000" b="0" i="0" u="none" strike="noStrike" kern="1200" baseline="0">
                          <a:solidFill>
                            <a:schemeClr val="accent1"/>
                          </a:solidFill>
                          <a:effectLst/>
                          <a:latin typeface="+mn-lt"/>
                          <a:ea typeface="+mn-ea"/>
                          <a:cs typeface="+mn-cs"/>
                        </a:defRPr>
                      </a:pPr>
                      <a:t>[CATEGORY NAME]</a:t>
                    </a:fld>
                    <a:r>
                      <a:rPr lang="en-US" sz="900" baseline="0">
                        <a:latin typeface="Tw Cen MT" panose="020B0602020104020603" pitchFamily="34" charset="77"/>
                      </a:rPr>
                      <a:t>
</a:t>
                    </a:r>
                    <a:fld id="{23718190-D49A-014A-9AC9-0FA274CAAB38}" type="PERCENTAGE">
                      <a:rPr lang="en-US" sz="900" baseline="0">
                        <a:latin typeface="Tw Cen MT" panose="020B0602020104020603" pitchFamily="34" charset="77"/>
                      </a:rPr>
                      <a:pPr>
                        <a:defRPr sz="1000" b="0" i="0" u="none" strike="noStrike" kern="1200" baseline="0">
                          <a:solidFill>
                            <a:schemeClr val="accent1"/>
                          </a:solidFill>
                          <a:effectLst/>
                          <a:latin typeface="+mn-lt"/>
                          <a:ea typeface="+mn-ea"/>
                          <a:cs typeface="+mn-cs"/>
                        </a:defRPr>
                      </a:pPr>
                      <a:t>[PERCENTAGE]</a:t>
                    </a:fld>
                    <a:endParaRPr lang="en-US" sz="900" baseline="0">
                      <a:latin typeface="Tw Cen MT" panose="020B0602020104020603" pitchFamily="34" charset="77"/>
                    </a:endParaRPr>
                  </a:p>
                </c:rich>
              </c:tx>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38193604604708731"/>
                      <c:h val="0.26628855842699906"/>
                    </c:manualLayout>
                  </c15:layout>
                  <c15:dlblFieldTable/>
                  <c15:showDataLabelsRange val="0"/>
                </c:ext>
                <c:ext xmlns:c16="http://schemas.microsoft.com/office/drawing/2014/chart" uri="{C3380CC4-5D6E-409C-BE32-E72D297353CC}">
                  <c16:uniqueId val="{00000007-CA3E-8F49-98EA-7D90FC506FFA}"/>
                </c:ext>
              </c:extLst>
            </c:dLbl>
            <c:dLbl>
              <c:idx val="4"/>
              <c:layout>
                <c:manualLayout>
                  <c:x val="2.1523915703618415E-2"/>
                  <c:y val="9.7359967303767281E-2"/>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fld id="{D190838A-4F46-CD4F-A75A-7FC559942191}" type="CATEGORYNAME">
                      <a:rPr lang="en-US" sz="900">
                        <a:latin typeface="Tw Cen MT" panose="020B0602020104020603" pitchFamily="34" charset="77"/>
                      </a:rPr>
                      <a:pPr>
                        <a:defRPr sz="1000" b="0" i="0" u="none" strike="noStrike" kern="1200" baseline="0">
                          <a:solidFill>
                            <a:schemeClr val="accent1"/>
                          </a:solidFill>
                          <a:effectLst/>
                          <a:latin typeface="+mn-lt"/>
                          <a:ea typeface="+mn-ea"/>
                          <a:cs typeface="+mn-cs"/>
                        </a:defRPr>
                      </a:pPr>
                      <a:t>[CATEGORY NAME]</a:t>
                    </a:fld>
                    <a:r>
                      <a:rPr lang="en-US" sz="900" baseline="0">
                        <a:latin typeface="Tw Cen MT" panose="020B0602020104020603" pitchFamily="34" charset="77"/>
                      </a:rPr>
                      <a:t>
</a:t>
                    </a:r>
                    <a:fld id="{8D5A50B5-A821-5E43-9A2F-617A7A88CDFD}" type="PERCENTAGE">
                      <a:rPr lang="en-US" baseline="0"/>
                      <a:pPr>
                        <a:defRPr sz="1000" b="0" i="0" u="none" strike="noStrike" kern="1200" baseline="0">
                          <a:solidFill>
                            <a:schemeClr val="accent1"/>
                          </a:solidFill>
                          <a:effectLst/>
                          <a:latin typeface="+mn-lt"/>
                          <a:ea typeface="+mn-ea"/>
                          <a:cs typeface="+mn-cs"/>
                        </a:defRPr>
                      </a:pPr>
                      <a:t>[PERCENTAGE]</a:t>
                    </a:fld>
                    <a:endParaRPr lang="en-US" sz="900" baseline="0">
                      <a:latin typeface="Tw Cen MT" panose="020B0602020104020603" pitchFamily="34" charset="77"/>
                    </a:endParaRPr>
                  </a:p>
                </c:rich>
              </c:tx>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30308915291389843"/>
                      <c:h val="0.17797872876122731"/>
                    </c:manualLayout>
                  </c15:layout>
                  <c15:dlblFieldTable/>
                  <c15:showDataLabelsRange val="0"/>
                </c:ext>
                <c:ext xmlns:c16="http://schemas.microsoft.com/office/drawing/2014/chart" uri="{C3380CC4-5D6E-409C-BE32-E72D297353CC}">
                  <c16:uniqueId val="{00000009-CA3E-8F49-98EA-7D90FC506FFA}"/>
                </c:ext>
              </c:extLst>
            </c:dLbl>
            <c:dLbl>
              <c:idx val="5"/>
              <c:layout>
                <c:manualLayout>
                  <c:x val="-0.14168102623013593"/>
                  <c:y val="1.2464320452033701E-2"/>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fld id="{F7CE2984-C525-1343-93F3-147B9032B8DF}" type="CATEGORYNAME">
                      <a:rPr lang="en-US" sz="900">
                        <a:latin typeface="Tw Cen MT" panose="020B0602020104020603" pitchFamily="34" charset="77"/>
                      </a:rPr>
                      <a:pPr>
                        <a:defRPr sz="1000" b="0" i="0" u="none" strike="noStrike" kern="1200" baseline="0">
                          <a:solidFill>
                            <a:schemeClr val="accent1"/>
                          </a:solidFill>
                          <a:effectLst/>
                          <a:latin typeface="+mn-lt"/>
                          <a:ea typeface="+mn-ea"/>
                          <a:cs typeface="+mn-cs"/>
                        </a:defRPr>
                      </a:pPr>
                      <a:t>[CATEGORY NAME]</a:t>
                    </a:fld>
                    <a:r>
                      <a:rPr lang="en-US" baseline="0"/>
                      <a:t>
</a:t>
                    </a:r>
                    <a:fld id="{75B50C44-2F51-F74F-9F5F-FDEE08C05E71}" type="PERCENTAGE">
                      <a:rPr lang="en-US" baseline="0"/>
                      <a:pPr>
                        <a:defRPr sz="1000" b="0" i="0" u="none" strike="noStrike" kern="1200" baseline="0">
                          <a:solidFill>
                            <a:schemeClr val="accent1"/>
                          </a:solidFill>
                          <a:effectLst/>
                          <a:latin typeface="+mn-lt"/>
                          <a:ea typeface="+mn-ea"/>
                          <a:cs typeface="+mn-cs"/>
                        </a:defRPr>
                      </a:pPr>
                      <a:t>[PERCENTAGE]</a:t>
                    </a:fld>
                    <a:endParaRPr lang="en-US" baseline="0"/>
                  </a:p>
                </c:rich>
              </c:tx>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B-CA3E-8F49-98EA-7D90FC506FFA}"/>
                </c:ext>
              </c:extLst>
            </c:dLbl>
            <c:dLbl>
              <c:idx val="6"/>
              <c:layout>
                <c:manualLayout>
                  <c:x val="-8.8292978278377454E-2"/>
                  <c:y val="-4.3481386532109841E-3"/>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fld id="{C628FC25-CE81-BE46-8575-732664DA5146}" type="CATEGORYNAME">
                      <a:rPr lang="en-US" sz="900">
                        <a:latin typeface="Tw Cen MT" panose="020B0602020104020603" pitchFamily="34" charset="77"/>
                      </a:rPr>
                      <a:pPr>
                        <a:defRPr sz="1000" b="0" i="0" u="none" strike="noStrike" kern="1200" baseline="0">
                          <a:solidFill>
                            <a:schemeClr val="accent1"/>
                          </a:solidFill>
                          <a:effectLst/>
                          <a:latin typeface="+mn-lt"/>
                          <a:ea typeface="+mn-ea"/>
                          <a:cs typeface="+mn-cs"/>
                        </a:defRPr>
                      </a:pPr>
                      <a:t>[CATEGORY NAME]</a:t>
                    </a:fld>
                    <a:r>
                      <a:rPr lang="en-US" sz="900" baseline="0">
                        <a:latin typeface="Tw Cen MT" panose="020B0602020104020603" pitchFamily="34" charset="77"/>
                      </a:rPr>
                      <a:t>
</a:t>
                    </a:r>
                    <a:fld id="{3D63F684-03F5-FD45-8A84-B3DE2D06B72D}" type="PERCENTAGE">
                      <a:rPr lang="en-US" baseline="0"/>
                      <a:pPr>
                        <a:defRPr sz="1000" b="0" i="0" u="none" strike="noStrike" kern="1200" baseline="0">
                          <a:solidFill>
                            <a:schemeClr val="accent1"/>
                          </a:solidFill>
                          <a:effectLst/>
                          <a:latin typeface="+mn-lt"/>
                          <a:ea typeface="+mn-ea"/>
                          <a:cs typeface="+mn-cs"/>
                        </a:defRPr>
                      </a:pPr>
                      <a:t>[PERCENTAGE]</a:t>
                    </a:fld>
                    <a:endParaRPr lang="en-US" sz="900" baseline="0">
                      <a:latin typeface="Tw Cen MT" panose="020B0602020104020603" pitchFamily="34" charset="77"/>
                    </a:endParaRPr>
                  </a:p>
                </c:rich>
              </c:tx>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D-CA3E-8F49-98EA-7D90FC506FFA}"/>
                </c:ext>
              </c:extLst>
            </c:dLbl>
            <c:dLbl>
              <c:idx val="7"/>
              <c:layout>
                <c:manualLayout>
                  <c:x val="9.9887920930175275E-3"/>
                  <c:y val="7.9344727228521733E-2"/>
                </c:manualLayout>
              </c:layout>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fld id="{FBB6987C-9B2F-864E-B616-7462A90DA0E4}" type="CATEGORYNAME">
                      <a:rPr lang="en-US" sz="900">
                        <a:latin typeface="Tw Cen MT" panose="020B0602020104020603" pitchFamily="34" charset="77"/>
                      </a:rPr>
                      <a:pPr>
                        <a:defRPr sz="1000" b="0" i="0" u="none" strike="noStrike" kern="1200" baseline="0">
                          <a:solidFill>
                            <a:schemeClr val="accent1"/>
                          </a:solidFill>
                          <a:effectLst/>
                          <a:latin typeface="+mn-lt"/>
                          <a:ea typeface="+mn-ea"/>
                          <a:cs typeface="+mn-cs"/>
                        </a:defRPr>
                      </a:pPr>
                      <a:t>[CATEGORY NAME]</a:t>
                    </a:fld>
                    <a:r>
                      <a:rPr lang="en-US" sz="900" baseline="0">
                        <a:latin typeface="Tw Cen MT" panose="020B0602020104020603" pitchFamily="34" charset="77"/>
                      </a:rPr>
                      <a:t>
</a:t>
                    </a:r>
                    <a:fld id="{362F41D2-94B4-734B-8F00-04E62FB4D5CE}" type="PERCENTAGE">
                      <a:rPr lang="en-US" sz="900" baseline="0">
                        <a:latin typeface="Tw Cen MT" panose="020B0602020104020603" pitchFamily="34" charset="77"/>
                      </a:rPr>
                      <a:pPr>
                        <a:defRPr sz="1000" b="0" i="0" u="none" strike="noStrike" kern="1200" baseline="0">
                          <a:solidFill>
                            <a:schemeClr val="accent1"/>
                          </a:solidFill>
                          <a:effectLst/>
                          <a:latin typeface="+mn-lt"/>
                          <a:ea typeface="+mn-ea"/>
                          <a:cs typeface="+mn-cs"/>
                        </a:defRPr>
                      </a:pPr>
                      <a:t>[PERCENTAGE]</a:t>
                    </a:fld>
                    <a:endParaRPr lang="en-US" sz="900" baseline="0">
                      <a:latin typeface="Tw Cen MT" panose="020B0602020104020603" pitchFamily="34" charset="77"/>
                    </a:endParaRPr>
                  </a:p>
                </c:rich>
              </c:tx>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27902689647998485"/>
                      <c:h val="0.2347967359011123"/>
                    </c:manualLayout>
                  </c15:layout>
                  <c15:dlblFieldTable/>
                  <c15:showDataLabelsRange val="0"/>
                </c:ext>
                <c:ext xmlns:c16="http://schemas.microsoft.com/office/drawing/2014/chart" uri="{C3380CC4-5D6E-409C-BE32-E72D297353CC}">
                  <c16:uniqueId val="{0000000F-CA3E-8F49-98EA-7D90FC506FFA}"/>
                </c:ext>
              </c:extLst>
            </c:dLbl>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Sheet1!$B$2:$B$9</c:f>
              <c:strCache>
                <c:ptCount val="8"/>
                <c:pt idx="0">
                  <c:v>Sepsis</c:v>
                </c:pt>
                <c:pt idx="1">
                  <c:v>Haemorrhage</c:v>
                </c:pt>
                <c:pt idx="2">
                  <c:v>Pre-eclampsia/Eclampsia/HELLP</c:v>
                </c:pt>
                <c:pt idx="3">
                  <c:v>Thrombotic microangiopathy</c:v>
                </c:pt>
                <c:pt idx="4">
                  <c:v>Hypovolemia</c:v>
                </c:pt>
                <c:pt idx="5">
                  <c:v>Tropical fever</c:v>
                </c:pt>
                <c:pt idx="6">
                  <c:v>Others</c:v>
                </c:pt>
                <c:pt idx="7">
                  <c:v>More than one cause</c:v>
                </c:pt>
              </c:strCache>
            </c:strRef>
          </c:cat>
          <c:val>
            <c:numRef>
              <c:f>Sheet1!$C$2:$C$9</c:f>
              <c:numCache>
                <c:formatCode>General</c:formatCode>
                <c:ptCount val="8"/>
                <c:pt idx="0">
                  <c:v>23.5</c:v>
                </c:pt>
                <c:pt idx="1">
                  <c:v>24.7</c:v>
                </c:pt>
                <c:pt idx="2">
                  <c:v>32.5</c:v>
                </c:pt>
                <c:pt idx="3">
                  <c:v>1.1000000000000001</c:v>
                </c:pt>
                <c:pt idx="4">
                  <c:v>1.1000000000000001</c:v>
                </c:pt>
                <c:pt idx="5">
                  <c:v>5.6</c:v>
                </c:pt>
                <c:pt idx="6">
                  <c:v>7.8</c:v>
                </c:pt>
                <c:pt idx="7">
                  <c:v>4.4000000000000004</c:v>
                </c:pt>
              </c:numCache>
            </c:numRef>
          </c:val>
          <c:extLst xmlns:c16r2="http://schemas.microsoft.com/office/drawing/2015/06/chart">
            <c:ext xmlns:c16="http://schemas.microsoft.com/office/drawing/2014/chart" uri="{C3380CC4-5D6E-409C-BE32-E72D297353CC}">
              <c16:uniqueId val="{00000010-CA3E-8F49-98EA-7D90FC506FFA}"/>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0.07291</cdr:x>
      <cdr:y>0.88687</cdr:y>
    </cdr:from>
    <cdr:to>
      <cdr:x>0.96383</cdr:x>
      <cdr:y>0.97847</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41814" y="1673158"/>
          <a:ext cx="2954829" cy="172809"/>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 Heart Congress 2021</cp:lastModifiedBy>
  <cp:revision>2</cp:revision>
  <dcterms:created xsi:type="dcterms:W3CDTF">2023-04-25T10:10:00Z</dcterms:created>
  <dcterms:modified xsi:type="dcterms:W3CDTF">2023-04-25T10:10:00Z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