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7"/>
        <w:ind w:left="0"/>
        <w:rPr>
          <w:rFonts w:ascii="Times New Roman"/>
          <w:sz w:val="29"/>
        </w:rPr>
      </w:pPr>
    </w:p>
    <w:p>
      <w:pPr>
        <w:pStyle w:val="Heading1"/>
        <w:spacing w:before="59"/>
        <w:ind w:left="2917" w:right="2891" w:firstLine="9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951864</wp:posOffset>
            </wp:positionH>
            <wp:positionV relativeFrom="paragraph">
              <wp:posOffset>-363328</wp:posOffset>
            </wp:positionV>
            <wp:extent cx="1073785" cy="115283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1152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ST. LUKE’S MEDICAL CENTER- GLOBAL CITY</w:t>
      </w:r>
      <w:r>
        <w:rPr>
          <w:spacing w:val="1"/>
        </w:rPr>
        <w:t> </w:t>
      </w:r>
      <w:r>
        <w:rPr/>
        <w:t>INSTITUTE OF</w:t>
      </w:r>
      <w:r>
        <w:rPr>
          <w:spacing w:val="-6"/>
        </w:rPr>
        <w:t> </w:t>
      </w:r>
      <w:r>
        <w:rPr/>
        <w:t>PEDIATRICS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CHILD</w:t>
      </w:r>
      <w:r>
        <w:rPr>
          <w:spacing w:val="-3"/>
        </w:rPr>
        <w:t> </w:t>
      </w:r>
      <w:r>
        <w:rPr/>
        <w:t>HEALTH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11"/>
        <w:ind w:left="0"/>
        <w:rPr>
          <w:b/>
          <w:sz w:val="19"/>
        </w:rPr>
      </w:pPr>
    </w:p>
    <w:p>
      <w:pPr>
        <w:spacing w:before="0"/>
        <w:ind w:left="2225" w:right="2205" w:firstLine="0"/>
        <w:jc w:val="center"/>
        <w:rPr>
          <w:b/>
          <w:sz w:val="20"/>
        </w:rPr>
      </w:pPr>
      <w:r>
        <w:rPr>
          <w:b/>
          <w:sz w:val="20"/>
        </w:rPr>
        <w:t>ESOPHAGEAL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ACHALASIA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ADOLESCENT: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CASE REPORT</w:t>
      </w:r>
    </w:p>
    <w:p>
      <w:pPr>
        <w:pStyle w:val="Heading1"/>
        <w:spacing w:before="1"/>
        <w:ind w:left="2225" w:right="2193"/>
        <w:jc w:val="center"/>
      </w:pPr>
      <w:r>
        <w:rPr/>
        <w:t>By:</w:t>
      </w:r>
      <w:r>
        <w:rPr>
          <w:spacing w:val="-1"/>
        </w:rPr>
        <w:t> </w:t>
      </w:r>
      <w:r>
        <w:rPr/>
        <w:t>Corinna</w:t>
      </w:r>
      <w:r>
        <w:rPr>
          <w:spacing w:val="1"/>
        </w:rPr>
        <w:t> </w:t>
      </w:r>
      <w:r>
        <w:rPr/>
        <w:t>Mae</w:t>
      </w:r>
      <w:r>
        <w:rPr>
          <w:spacing w:val="-6"/>
        </w:rPr>
        <w:t> </w:t>
      </w:r>
      <w:r>
        <w:rPr/>
        <w:t>R.</w:t>
      </w:r>
      <w:r>
        <w:rPr>
          <w:spacing w:val="1"/>
        </w:rPr>
        <w:t> </w:t>
      </w:r>
      <w:r>
        <w:rPr/>
        <w:t>Carag,</w:t>
      </w:r>
      <w:r>
        <w:rPr>
          <w:spacing w:val="-2"/>
        </w:rPr>
        <w:t> </w:t>
      </w:r>
      <w:r>
        <w:rPr/>
        <w:t>MD</w:t>
      </w:r>
    </w:p>
    <w:p>
      <w:pPr>
        <w:pStyle w:val="BodyText"/>
        <w:ind w:left="0"/>
        <w:rPr>
          <w:b/>
        </w:rPr>
      </w:pPr>
    </w:p>
    <w:p>
      <w:pPr>
        <w:spacing w:after="0"/>
        <w:sectPr>
          <w:footerReference w:type="default" r:id="rId5"/>
          <w:type w:val="continuous"/>
          <w:pgSz w:w="12240" w:h="15840"/>
          <w:pgMar w:footer="769" w:top="1220" w:bottom="960" w:left="1300" w:right="1320"/>
          <w:pgNumType w:start="1"/>
        </w:sectPr>
      </w:pPr>
    </w:p>
    <w:p>
      <w:pPr>
        <w:pStyle w:val="BodyText"/>
        <w:spacing w:before="10"/>
        <w:ind w:left="0"/>
        <w:rPr>
          <w:b/>
          <w:sz w:val="17"/>
        </w:rPr>
      </w:pPr>
    </w:p>
    <w:p>
      <w:pPr>
        <w:spacing w:before="0"/>
        <w:ind w:left="140" w:right="0" w:firstLine="0"/>
        <w:jc w:val="left"/>
        <w:rPr>
          <w:b/>
          <w:sz w:val="20"/>
        </w:rPr>
      </w:pPr>
      <w:r>
        <w:rPr>
          <w:b/>
          <w:spacing w:val="-1"/>
          <w:sz w:val="20"/>
        </w:rPr>
        <w:t>Abstract</w:t>
      </w:r>
    </w:p>
    <w:p>
      <w:pPr>
        <w:pStyle w:val="BodyText"/>
        <w:ind w:left="0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spacing w:before="6"/>
        <w:ind w:left="0"/>
        <w:rPr>
          <w:b/>
          <w:sz w:val="17"/>
        </w:rPr>
      </w:pPr>
    </w:p>
    <w:p>
      <w:pPr>
        <w:pStyle w:val="BodyText"/>
        <w:ind w:left="-14"/>
      </w:pPr>
      <w:r>
        <w:rPr/>
        <w:t>Achalasia</w:t>
      </w:r>
      <w:r>
        <w:rPr>
          <w:spacing w:val="32"/>
        </w:rPr>
        <w:t> </w:t>
      </w:r>
      <w:r>
        <w:rPr/>
        <w:t>is</w:t>
      </w:r>
      <w:r>
        <w:rPr>
          <w:spacing w:val="34"/>
        </w:rPr>
        <w:t> </w:t>
      </w:r>
      <w:r>
        <w:rPr/>
        <w:t>a</w:t>
      </w:r>
      <w:r>
        <w:rPr>
          <w:spacing w:val="32"/>
        </w:rPr>
        <w:t> </w:t>
      </w:r>
      <w:r>
        <w:rPr/>
        <w:t>rare</w:t>
      </w:r>
      <w:r>
        <w:rPr>
          <w:spacing w:val="33"/>
        </w:rPr>
        <w:t> </w:t>
      </w:r>
      <w:r>
        <w:rPr/>
        <w:t>disorder,</w:t>
      </w:r>
      <w:r>
        <w:rPr>
          <w:spacing w:val="33"/>
        </w:rPr>
        <w:t> </w:t>
      </w:r>
      <w:r>
        <w:rPr/>
        <w:t>particularly</w:t>
      </w:r>
      <w:r>
        <w:rPr>
          <w:spacing w:val="32"/>
        </w:rPr>
        <w:t> </w:t>
      </w:r>
      <w:r>
        <w:rPr/>
        <w:t>in</w:t>
      </w:r>
    </w:p>
    <w:p>
      <w:pPr>
        <w:pStyle w:val="BodyText"/>
        <w:spacing w:before="10"/>
        <w:ind w:left="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Heading1"/>
        <w:spacing w:line="242" w:lineRule="exact"/>
      </w:pPr>
      <w:r>
        <w:rPr/>
        <w:t>Case</w:t>
      </w:r>
      <w:r>
        <w:rPr>
          <w:spacing w:val="-7"/>
        </w:rPr>
        <w:t> </w:t>
      </w:r>
      <w:r>
        <w:rPr/>
        <w:t>Presentation</w:t>
      </w:r>
    </w:p>
    <w:p>
      <w:pPr>
        <w:pStyle w:val="BodyText"/>
        <w:spacing w:line="242" w:lineRule="exact"/>
        <w:ind w:left="860"/>
      </w:pPr>
      <w:r>
        <w:rPr/>
        <w:t>A</w:t>
      </w:r>
      <w:r>
        <w:rPr>
          <w:spacing w:val="-10"/>
        </w:rPr>
        <w:t> </w:t>
      </w:r>
      <w:r>
        <w:rPr/>
        <w:t>15-year-old</w:t>
      </w:r>
      <w:r>
        <w:rPr>
          <w:spacing w:val="-10"/>
        </w:rPr>
        <w:t> </w:t>
      </w:r>
      <w:r>
        <w:rPr/>
        <w:t>male</w:t>
      </w:r>
      <w:r>
        <w:rPr>
          <w:spacing w:val="-8"/>
        </w:rPr>
        <w:t> </w:t>
      </w:r>
      <w:r>
        <w:rPr/>
        <w:t>was</w:t>
      </w:r>
      <w:r>
        <w:rPr>
          <w:spacing w:val="-8"/>
        </w:rPr>
        <w:t> </w:t>
      </w:r>
      <w:r>
        <w:rPr/>
        <w:t>admitted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a</w:t>
      </w:r>
      <w:r>
        <w:rPr>
          <w:spacing w:val="-11"/>
        </w:rPr>
        <w:t> </w:t>
      </w:r>
      <w:r>
        <w:rPr/>
        <w:t>1</w:t>
      </w:r>
      <w:r>
        <w:rPr>
          <w:spacing w:val="-5"/>
        </w:rPr>
        <w:t> </w:t>
      </w:r>
      <w:r>
        <w:rPr/>
        <w:t>year</w:t>
      </w:r>
    </w:p>
    <w:p>
      <w:pPr>
        <w:spacing w:after="0" w:line="242" w:lineRule="exact"/>
        <w:sectPr>
          <w:type w:val="continuous"/>
          <w:pgSz w:w="12240" w:h="15840"/>
          <w:pgMar w:top="1220" w:bottom="960" w:left="1300" w:right="1320"/>
          <w:cols w:num="3" w:equalWidth="0">
            <w:col w:w="835" w:space="40"/>
            <w:col w:w="3625" w:space="537"/>
            <w:col w:w="4583"/>
          </w:cols>
        </w:sectPr>
      </w:pPr>
    </w:p>
    <w:p>
      <w:pPr>
        <w:pStyle w:val="BodyText"/>
        <w:spacing w:before="1"/>
        <w:ind w:right="40"/>
        <w:jc w:val="both"/>
      </w:pPr>
      <w:r>
        <w:rPr/>
        <w:t>Pediatrics, characterized by esophageal aperistalsis</w:t>
      </w:r>
      <w:r>
        <w:rPr>
          <w:spacing w:val="1"/>
        </w:rPr>
        <w:t> </w:t>
      </w:r>
      <w:r>
        <w:rPr/>
        <w:t>and inadequate relaxation of the lower esophageal</w:t>
      </w:r>
      <w:r>
        <w:rPr>
          <w:spacing w:val="1"/>
        </w:rPr>
        <w:t> </w:t>
      </w:r>
      <w:r>
        <w:rPr/>
        <w:t>sphincter. Its etiology remains unclear and is mostly</w:t>
      </w:r>
      <w:r>
        <w:rPr>
          <w:spacing w:val="1"/>
        </w:rPr>
        <w:t> </w:t>
      </w:r>
      <w:r>
        <w:rPr/>
        <w:t>idiopathic. This is a case of an adolescent male who</w:t>
      </w:r>
      <w:r>
        <w:rPr>
          <w:spacing w:val="1"/>
        </w:rPr>
        <w:t> </w:t>
      </w:r>
      <w:r>
        <w:rPr/>
        <w:t>presented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progressive</w:t>
      </w:r>
      <w:r>
        <w:rPr>
          <w:spacing w:val="1"/>
        </w:rPr>
        <w:t> </w:t>
      </w:r>
      <w:r>
        <w:rPr/>
        <w:t>dysphagia,</w:t>
      </w:r>
      <w:r>
        <w:rPr>
          <w:spacing w:val="1"/>
        </w:rPr>
        <w:t> </w:t>
      </w:r>
      <w:r>
        <w:rPr/>
        <w:t>occasional</w:t>
      </w:r>
      <w:r>
        <w:rPr>
          <w:spacing w:val="1"/>
        </w:rPr>
        <w:t> </w:t>
      </w:r>
      <w:r>
        <w:rPr/>
        <w:t>chest</w:t>
      </w:r>
      <w:r>
        <w:rPr>
          <w:spacing w:val="1"/>
        </w:rPr>
        <w:t> </w:t>
      </w:r>
      <w:r>
        <w:rPr/>
        <w:t>pain,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significant</w:t>
      </w:r>
      <w:r>
        <w:rPr>
          <w:spacing w:val="1"/>
        </w:rPr>
        <w:t> </w:t>
      </w:r>
      <w:r>
        <w:rPr/>
        <w:t>weight</w:t>
      </w:r>
      <w:r>
        <w:rPr>
          <w:spacing w:val="1"/>
        </w:rPr>
        <w:t> </w:t>
      </w:r>
      <w:r>
        <w:rPr/>
        <w:t>loss,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diagnosed with Esophageal Achalasia through upper</w:t>
      </w:r>
      <w:r>
        <w:rPr>
          <w:spacing w:val="1"/>
        </w:rPr>
        <w:t> </w:t>
      </w:r>
      <w:r>
        <w:rPr/>
        <w:t>GI series, endoscopy, and manometry. The patient</w:t>
      </w:r>
      <w:r>
        <w:rPr>
          <w:spacing w:val="1"/>
        </w:rPr>
        <w:t> </w:t>
      </w:r>
      <w:r>
        <w:rPr/>
        <w:t>underwent</w:t>
      </w:r>
      <w:r>
        <w:rPr>
          <w:spacing w:val="1"/>
        </w:rPr>
        <w:t> </w:t>
      </w:r>
      <w:r>
        <w:rPr/>
        <w:t>Heller’s</w:t>
      </w:r>
      <w:r>
        <w:rPr>
          <w:spacing w:val="1"/>
        </w:rPr>
        <w:t> </w:t>
      </w:r>
      <w:r>
        <w:rPr/>
        <w:t>Myotomy,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surgical</w:t>
      </w:r>
      <w:r>
        <w:rPr>
          <w:spacing w:val="1"/>
        </w:rPr>
        <w:t> </w:t>
      </w:r>
      <w:r>
        <w:rPr/>
        <w:t>gold</w:t>
      </w:r>
      <w:r>
        <w:rPr>
          <w:spacing w:val="1"/>
        </w:rPr>
        <w:t> </w:t>
      </w:r>
      <w:r>
        <w:rPr/>
        <w:t>standard</w:t>
      </w:r>
      <w:r>
        <w:rPr>
          <w:spacing w:val="-2"/>
        </w:rPr>
        <w:t> </w:t>
      </w:r>
      <w:r>
        <w:rPr/>
        <w:t>for</w:t>
      </w:r>
      <w:r>
        <w:rPr>
          <w:spacing w:val="3"/>
        </w:rPr>
        <w:t> </w:t>
      </w:r>
      <w:r>
        <w:rPr/>
        <w:t>treatment.</w:t>
      </w:r>
    </w:p>
    <w:p>
      <w:pPr>
        <w:pStyle w:val="BodyText"/>
        <w:ind w:left="0"/>
      </w:pPr>
    </w:p>
    <w:p>
      <w:pPr>
        <w:spacing w:before="0"/>
        <w:ind w:left="140" w:right="37" w:firstLine="0"/>
        <w:jc w:val="left"/>
        <w:rPr>
          <w:i/>
          <w:sz w:val="20"/>
        </w:rPr>
      </w:pPr>
      <w:r>
        <w:rPr>
          <w:i/>
          <w:sz w:val="20"/>
        </w:rPr>
        <w:t>Keywords:</w:t>
      </w:r>
      <w:r>
        <w:rPr>
          <w:i/>
          <w:spacing w:val="26"/>
          <w:sz w:val="20"/>
        </w:rPr>
        <w:t> </w:t>
      </w:r>
      <w:r>
        <w:rPr>
          <w:i/>
          <w:sz w:val="20"/>
        </w:rPr>
        <w:t>Achalasia,</w:t>
      </w:r>
      <w:r>
        <w:rPr>
          <w:i/>
          <w:spacing w:val="24"/>
          <w:sz w:val="20"/>
        </w:rPr>
        <w:t> </w:t>
      </w:r>
      <w:r>
        <w:rPr>
          <w:i/>
          <w:sz w:val="20"/>
        </w:rPr>
        <w:t>Heller’s</w:t>
      </w:r>
      <w:r>
        <w:rPr>
          <w:i/>
          <w:spacing w:val="27"/>
          <w:sz w:val="20"/>
        </w:rPr>
        <w:t> </w:t>
      </w:r>
      <w:r>
        <w:rPr>
          <w:i/>
          <w:sz w:val="20"/>
        </w:rPr>
        <w:t>Myotomy,</w:t>
      </w:r>
      <w:r>
        <w:rPr>
          <w:i/>
          <w:spacing w:val="20"/>
          <w:sz w:val="20"/>
        </w:rPr>
        <w:t> </w:t>
      </w:r>
      <w:r>
        <w:rPr>
          <w:i/>
          <w:sz w:val="20"/>
        </w:rPr>
        <w:t>Esophageal</w:t>
      </w:r>
      <w:r>
        <w:rPr>
          <w:i/>
          <w:spacing w:val="-42"/>
          <w:sz w:val="20"/>
        </w:rPr>
        <w:t> </w:t>
      </w:r>
      <w:r>
        <w:rPr>
          <w:i/>
          <w:sz w:val="20"/>
        </w:rPr>
        <w:t>Motility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Disorder</w:t>
      </w:r>
    </w:p>
    <w:p>
      <w:pPr>
        <w:pStyle w:val="BodyText"/>
        <w:spacing w:line="30" w:lineRule="exact"/>
        <w:ind w:left="110" w:right="-58"/>
        <w:rPr>
          <w:sz w:val="3"/>
        </w:rPr>
      </w:pPr>
      <w:r>
        <w:rPr>
          <w:position w:val="0"/>
          <w:sz w:val="3"/>
        </w:rPr>
        <w:pict>
          <v:group style="width:219.35pt;height:1.5pt;mso-position-horizontal-relative:char;mso-position-vertical-relative:line" coordorigin="0,0" coordsize="4387,30">
            <v:rect style="position:absolute;left:0;top:0;width:4387;height:30" filled="true" fillcolor="#000000" stroked="false">
              <v:fill type="solid"/>
            </v:rect>
          </v:group>
        </w:pict>
      </w:r>
      <w:r>
        <w:rPr>
          <w:position w:val="0"/>
          <w:sz w:val="3"/>
        </w:rPr>
      </w:r>
    </w:p>
    <w:p>
      <w:pPr>
        <w:pStyle w:val="BodyText"/>
        <w:spacing w:before="10"/>
        <w:ind w:left="0"/>
        <w:rPr>
          <w:i/>
          <w:sz w:val="21"/>
        </w:rPr>
      </w:pPr>
    </w:p>
    <w:p>
      <w:pPr>
        <w:pStyle w:val="Heading1"/>
      </w:pPr>
      <w:r>
        <w:rPr/>
        <w:t>Introduction</w:t>
      </w:r>
    </w:p>
    <w:p>
      <w:pPr>
        <w:pStyle w:val="BodyText"/>
        <w:spacing w:before="1"/>
        <w:ind w:right="38" w:firstLine="720"/>
        <w:jc w:val="both"/>
      </w:pPr>
      <w:r>
        <w:rPr/>
        <w:t>Achalasia of</w:t>
      </w:r>
      <w:r>
        <w:rPr>
          <w:spacing w:val="1"/>
        </w:rPr>
        <w:t> </w:t>
      </w:r>
      <w:r>
        <w:rPr/>
        <w:t>the esophagus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 very</w:t>
      </w:r>
      <w:r>
        <w:rPr>
          <w:spacing w:val="1"/>
        </w:rPr>
        <w:t> </w:t>
      </w:r>
      <w:r>
        <w:rPr/>
        <w:t>rare</w:t>
      </w:r>
      <w:r>
        <w:rPr>
          <w:spacing w:val="1"/>
        </w:rPr>
        <w:t> </w:t>
      </w:r>
      <w:r>
        <w:rPr/>
        <w:t>condition,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estimated</w:t>
      </w:r>
      <w:r>
        <w:rPr>
          <w:spacing w:val="1"/>
        </w:rPr>
        <w:t> </w:t>
      </w:r>
      <w:r>
        <w:rPr/>
        <w:t>annual</w:t>
      </w:r>
      <w:r>
        <w:rPr>
          <w:spacing w:val="1"/>
        </w:rPr>
        <w:t> </w:t>
      </w:r>
      <w:r>
        <w:rPr/>
        <w:t>incidence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1:100,000 cases overall, and less than 5% of which</w:t>
      </w:r>
      <w:r>
        <w:rPr>
          <w:spacing w:val="1"/>
        </w:rPr>
        <w:t> </w:t>
      </w:r>
      <w:r>
        <w:rPr/>
        <w:t>occur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children</w:t>
      </w:r>
      <w:r>
        <w:rPr>
          <w:spacing w:val="1"/>
        </w:rPr>
        <w:t> </w:t>
      </w:r>
      <w:r>
        <w:rPr/>
        <w:t>(0.11</w:t>
      </w:r>
      <w:r>
        <w:rPr>
          <w:spacing w:val="1"/>
        </w:rPr>
        <w:t> </w:t>
      </w:r>
      <w:r>
        <w:rPr/>
        <w:t>per</w:t>
      </w:r>
      <w:r>
        <w:rPr>
          <w:spacing w:val="1"/>
        </w:rPr>
        <w:t> </w:t>
      </w:r>
      <w:r>
        <w:rPr/>
        <w:t>100,000</w:t>
      </w:r>
      <w:r>
        <w:rPr>
          <w:spacing w:val="1"/>
        </w:rPr>
        <w:t> </w:t>
      </w:r>
      <w:r>
        <w:rPr/>
        <w:t>pediatric</w:t>
      </w:r>
      <w:r>
        <w:rPr>
          <w:spacing w:val="1"/>
        </w:rPr>
        <w:t> </w:t>
      </w:r>
      <w:r>
        <w:rPr/>
        <w:t>patients).</w:t>
      </w:r>
      <w:r>
        <w:rPr>
          <w:vertAlign w:val="superscript"/>
        </w:rPr>
        <w:t>1</w:t>
      </w:r>
      <w:r>
        <w:rPr>
          <w:vertAlign w:val="baseline"/>
        </w:rPr>
        <w:t> Pediatric achalasia is generally diagnosed</w:t>
      </w:r>
      <w:r>
        <w:rPr>
          <w:spacing w:val="1"/>
          <w:vertAlign w:val="baseline"/>
        </w:rPr>
        <w:t> </w:t>
      </w:r>
      <w:r>
        <w:rPr>
          <w:vertAlign w:val="baseline"/>
        </w:rPr>
        <w:t>between</w:t>
      </w:r>
      <w:r>
        <w:rPr>
          <w:spacing w:val="1"/>
          <w:vertAlign w:val="baseline"/>
        </w:rPr>
        <w:t> </w:t>
      </w:r>
      <w:r>
        <w:rPr>
          <w:vertAlign w:val="baseline"/>
        </w:rPr>
        <w:t>7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15</w:t>
      </w:r>
      <w:r>
        <w:rPr>
          <w:spacing w:val="1"/>
          <w:vertAlign w:val="baseline"/>
        </w:rPr>
        <w:t> </w:t>
      </w:r>
      <w:r>
        <w:rPr>
          <w:vertAlign w:val="baseline"/>
        </w:rPr>
        <w:t>years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age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has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slight</w:t>
      </w:r>
      <w:r>
        <w:rPr>
          <w:spacing w:val="1"/>
          <w:vertAlign w:val="baseline"/>
        </w:rPr>
        <w:t> </w:t>
      </w:r>
      <w:r>
        <w:rPr>
          <w:vertAlign w:val="baseline"/>
        </w:rPr>
        <w:t>predominance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boys.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Philippines,</w:t>
      </w:r>
      <w:r>
        <w:rPr>
          <w:spacing w:val="1"/>
          <w:vertAlign w:val="baseline"/>
        </w:rPr>
        <w:t> </w:t>
      </w:r>
      <w:r>
        <w:rPr>
          <w:vertAlign w:val="baseline"/>
        </w:rPr>
        <w:t>only</w:t>
      </w:r>
      <w:r>
        <w:rPr>
          <w:spacing w:val="1"/>
          <w:vertAlign w:val="baseline"/>
        </w:rPr>
        <w:t> </w:t>
      </w:r>
      <w:r>
        <w:rPr>
          <w:vertAlign w:val="baseline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cases have been reported in the Philippine Pediatric</w:t>
      </w:r>
      <w:r>
        <w:rPr>
          <w:spacing w:val="1"/>
          <w:vertAlign w:val="baseline"/>
        </w:rPr>
        <w:t> </w:t>
      </w:r>
      <w:r>
        <w:rPr>
          <w:vertAlign w:val="baseline"/>
        </w:rPr>
        <w:t>Society Registry</w:t>
      </w:r>
      <w:r>
        <w:rPr>
          <w:spacing w:val="1"/>
          <w:vertAlign w:val="baseline"/>
        </w:rPr>
        <w:t> </w:t>
      </w:r>
      <w:r>
        <w:rPr>
          <w:vertAlign w:val="baseline"/>
        </w:rPr>
        <w:t>for the year</w:t>
      </w:r>
      <w:r>
        <w:rPr>
          <w:spacing w:val="1"/>
          <w:vertAlign w:val="baseline"/>
        </w:rPr>
        <w:t> </w:t>
      </w:r>
      <w:r>
        <w:rPr>
          <w:vertAlign w:val="baseline"/>
        </w:rPr>
        <w:t>2020.</w:t>
      </w:r>
      <w:r>
        <w:rPr>
          <w:vertAlign w:val="superscript"/>
        </w:rPr>
        <w:t>3</w:t>
      </w:r>
      <w:r>
        <w:rPr>
          <w:vertAlign w:val="baseline"/>
        </w:rPr>
        <w:t> Achalasia is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pathological condition causing dysphagia, reflux, and</w:t>
      </w:r>
      <w:r>
        <w:rPr>
          <w:spacing w:val="-43"/>
          <w:vertAlign w:val="baseline"/>
        </w:rPr>
        <w:t> </w:t>
      </w:r>
      <w:r>
        <w:rPr>
          <w:vertAlign w:val="baseline"/>
        </w:rPr>
        <w:t>regurgitation.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hallmarks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diagnosis</w:t>
      </w:r>
      <w:r>
        <w:rPr>
          <w:spacing w:val="1"/>
          <w:vertAlign w:val="baseline"/>
        </w:rPr>
        <w:t> </w:t>
      </w:r>
      <w:r>
        <w:rPr>
          <w:vertAlign w:val="baseline"/>
        </w:rPr>
        <w:t>include</w:t>
      </w:r>
      <w:r>
        <w:rPr>
          <w:spacing w:val="1"/>
          <w:vertAlign w:val="baseline"/>
        </w:rPr>
        <w:t> </w:t>
      </w:r>
      <w:r>
        <w:rPr>
          <w:vertAlign w:val="baseline"/>
        </w:rPr>
        <w:t>esophageal dysmotility and lack of relaxation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lower</w:t>
      </w:r>
      <w:r>
        <w:rPr>
          <w:spacing w:val="1"/>
          <w:vertAlign w:val="baseline"/>
        </w:rPr>
        <w:t> </w:t>
      </w:r>
      <w:r>
        <w:rPr>
          <w:vertAlign w:val="baseline"/>
        </w:rPr>
        <w:t>esophageal</w:t>
      </w:r>
      <w:r>
        <w:rPr>
          <w:spacing w:val="1"/>
          <w:vertAlign w:val="baseline"/>
        </w:rPr>
        <w:t> </w:t>
      </w:r>
      <w:r>
        <w:rPr>
          <w:vertAlign w:val="baseline"/>
        </w:rPr>
        <w:t>sphincter</w:t>
      </w:r>
      <w:r>
        <w:rPr>
          <w:spacing w:val="1"/>
          <w:vertAlign w:val="baseline"/>
        </w:rPr>
        <w:t> </w:t>
      </w:r>
      <w:r>
        <w:rPr>
          <w:vertAlign w:val="baseline"/>
        </w:rPr>
        <w:t>(LES).</w:t>
      </w:r>
      <w:r>
        <w:rPr>
          <w:spacing w:val="1"/>
          <w:vertAlign w:val="baseline"/>
        </w:rPr>
        <w:t> </w:t>
      </w:r>
      <w:r>
        <w:rPr>
          <w:vertAlign w:val="baseline"/>
        </w:rPr>
        <w:t>Diagnosis</w:t>
      </w:r>
      <w:r>
        <w:rPr>
          <w:spacing w:val="1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suspected by the clinical history, but is often delayed</w:t>
      </w:r>
      <w:r>
        <w:rPr>
          <w:spacing w:val="-43"/>
          <w:vertAlign w:val="baseline"/>
        </w:rPr>
        <w:t> </w:t>
      </w:r>
      <w:r>
        <w:rPr>
          <w:vertAlign w:val="baseline"/>
        </w:rPr>
        <w:t>in children because of the rarity of the disease. If left</w:t>
      </w:r>
      <w:r>
        <w:rPr>
          <w:spacing w:val="1"/>
          <w:vertAlign w:val="baseline"/>
        </w:rPr>
        <w:t> </w:t>
      </w:r>
      <w:r>
        <w:rPr>
          <w:vertAlign w:val="baseline"/>
        </w:rPr>
        <w:t>untreated,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sequelae</w:t>
      </w:r>
      <w:r>
        <w:rPr>
          <w:spacing w:val="1"/>
          <w:vertAlign w:val="baseline"/>
        </w:rPr>
        <w:t> </w:t>
      </w:r>
      <w:r>
        <w:rPr>
          <w:vertAlign w:val="baseline"/>
        </w:rPr>
        <w:t>can</w:t>
      </w:r>
      <w:r>
        <w:rPr>
          <w:spacing w:val="1"/>
          <w:vertAlign w:val="baseline"/>
        </w:rPr>
        <w:t> </w:t>
      </w:r>
      <w:r>
        <w:rPr>
          <w:vertAlign w:val="baseline"/>
        </w:rPr>
        <w:t>be</w:t>
      </w:r>
      <w:r>
        <w:rPr>
          <w:spacing w:val="1"/>
          <w:vertAlign w:val="baseline"/>
        </w:rPr>
        <w:t> </w:t>
      </w:r>
      <w:r>
        <w:rPr>
          <w:vertAlign w:val="baseline"/>
        </w:rPr>
        <w:t>significant,</w:t>
      </w:r>
      <w:r>
        <w:rPr>
          <w:spacing w:val="1"/>
          <w:vertAlign w:val="baseline"/>
        </w:rPr>
        <w:t> </w:t>
      </w:r>
      <w:r>
        <w:rPr>
          <w:vertAlign w:val="baseline"/>
        </w:rPr>
        <w:t>as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43"/>
          <w:vertAlign w:val="baseline"/>
        </w:rPr>
        <w:t> </w:t>
      </w:r>
      <w:r>
        <w:rPr>
          <w:vertAlign w:val="baseline"/>
        </w:rPr>
        <w:t>proximal esophageal tissue becomes more compliant</w:t>
      </w:r>
      <w:r>
        <w:rPr>
          <w:spacing w:val="-43"/>
          <w:vertAlign w:val="baseline"/>
        </w:rPr>
        <w:t> </w:t>
      </w:r>
      <w:r>
        <w:rPr>
          <w:vertAlign w:val="baseline"/>
        </w:rPr>
        <w:t>as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compensatory</w:t>
      </w:r>
      <w:r>
        <w:rPr>
          <w:spacing w:val="1"/>
          <w:vertAlign w:val="baseline"/>
        </w:rPr>
        <w:t> </w:t>
      </w:r>
      <w:r>
        <w:rPr>
          <w:vertAlign w:val="baseline"/>
        </w:rPr>
        <w:t>measure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entirely</w:t>
      </w:r>
      <w:r>
        <w:rPr>
          <w:spacing w:val="1"/>
          <w:vertAlign w:val="baseline"/>
        </w:rPr>
        <w:t> </w:t>
      </w:r>
      <w:r>
        <w:rPr>
          <w:vertAlign w:val="baseline"/>
        </w:rPr>
        <w:t>non-</w:t>
      </w:r>
      <w:r>
        <w:rPr>
          <w:spacing w:val="1"/>
          <w:vertAlign w:val="baseline"/>
        </w:rPr>
        <w:t> </w:t>
      </w:r>
      <w:r>
        <w:rPr>
          <w:vertAlign w:val="baseline"/>
        </w:rPr>
        <w:t>functional</w:t>
      </w:r>
      <w:r>
        <w:rPr>
          <w:spacing w:val="1"/>
          <w:vertAlign w:val="baseline"/>
        </w:rPr>
        <w:t> </w:t>
      </w:r>
      <w:r>
        <w:rPr>
          <w:vertAlign w:val="baseline"/>
        </w:rPr>
        <w:t>by</w:t>
      </w:r>
      <w:r>
        <w:rPr>
          <w:spacing w:val="1"/>
          <w:vertAlign w:val="baseline"/>
        </w:rPr>
        <w:t> </w:t>
      </w:r>
      <w:r>
        <w:rPr>
          <w:vertAlign w:val="baseline"/>
        </w:rPr>
        <w:t>end-stage</w:t>
      </w:r>
      <w:r>
        <w:rPr>
          <w:spacing w:val="1"/>
          <w:vertAlign w:val="baseline"/>
        </w:rPr>
        <w:t> </w:t>
      </w:r>
      <w:r>
        <w:rPr>
          <w:vertAlign w:val="baseline"/>
        </w:rPr>
        <w:t>disease.</w:t>
      </w:r>
      <w:r>
        <w:rPr>
          <w:spacing w:val="1"/>
          <w:vertAlign w:val="baseline"/>
        </w:rPr>
        <w:t> </w:t>
      </w:r>
      <w:r>
        <w:rPr>
          <w:vertAlign w:val="baseline"/>
        </w:rPr>
        <w:t>It</w:t>
      </w:r>
      <w:r>
        <w:rPr>
          <w:spacing w:val="1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life-long,</w:t>
      </w:r>
      <w:r>
        <w:rPr>
          <w:spacing w:val="1"/>
          <w:vertAlign w:val="baseline"/>
        </w:rPr>
        <w:t> </w:t>
      </w:r>
      <w:r>
        <w:rPr>
          <w:vertAlign w:val="baseline"/>
        </w:rPr>
        <w:t>debilitating condition, with a significant impact on</w:t>
      </w:r>
      <w:r>
        <w:rPr>
          <w:spacing w:val="1"/>
          <w:vertAlign w:val="baseline"/>
        </w:rPr>
        <w:t> </w:t>
      </w:r>
      <w:r>
        <w:rPr>
          <w:vertAlign w:val="baseline"/>
        </w:rPr>
        <w:t>quality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life.</w:t>
      </w:r>
      <w:r>
        <w:rPr>
          <w:spacing w:val="1"/>
          <w:vertAlign w:val="baseline"/>
        </w:rPr>
        <w:t> </w:t>
      </w:r>
      <w:r>
        <w:rPr>
          <w:vertAlign w:val="baseline"/>
        </w:rPr>
        <w:t>Hence,</w:t>
      </w:r>
      <w:r>
        <w:rPr>
          <w:spacing w:val="1"/>
          <w:vertAlign w:val="baseline"/>
        </w:rPr>
        <w:t> </w:t>
      </w:r>
      <w:r>
        <w:rPr>
          <w:vertAlign w:val="baseline"/>
        </w:rPr>
        <w:t>prompt</w:t>
      </w:r>
      <w:r>
        <w:rPr>
          <w:spacing w:val="1"/>
          <w:vertAlign w:val="baseline"/>
        </w:rPr>
        <w:t> </w:t>
      </w:r>
      <w:r>
        <w:rPr>
          <w:vertAlign w:val="baseline"/>
        </w:rPr>
        <w:t>diagnosis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intervention are needed. To date, pneumatic balloon</w:t>
      </w:r>
      <w:r>
        <w:rPr>
          <w:spacing w:val="-43"/>
          <w:vertAlign w:val="baseline"/>
        </w:rPr>
        <w:t> </w:t>
      </w:r>
      <w:r>
        <w:rPr>
          <w:vertAlign w:val="baseline"/>
        </w:rPr>
        <w:t>dilation</w:t>
      </w:r>
      <w:r>
        <w:rPr>
          <w:spacing w:val="1"/>
          <w:vertAlign w:val="baseline"/>
        </w:rPr>
        <w:t> </w:t>
      </w:r>
      <w:r>
        <w:rPr>
          <w:vertAlign w:val="baseline"/>
        </w:rPr>
        <w:t>(PD)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Heller’s</w:t>
      </w:r>
      <w:r>
        <w:rPr>
          <w:spacing w:val="1"/>
          <w:vertAlign w:val="baseline"/>
        </w:rPr>
        <w:t> </w:t>
      </w:r>
      <w:r>
        <w:rPr>
          <w:vertAlign w:val="baseline"/>
        </w:rPr>
        <w:t>myotomy</w:t>
      </w:r>
      <w:r>
        <w:rPr>
          <w:spacing w:val="1"/>
          <w:vertAlign w:val="baseline"/>
        </w:rPr>
        <w:t> </w:t>
      </w:r>
      <w:r>
        <w:rPr>
          <w:vertAlign w:val="baseline"/>
        </w:rPr>
        <w:t>(HM)</w:t>
      </w:r>
      <w:r>
        <w:rPr>
          <w:spacing w:val="1"/>
          <w:vertAlign w:val="baseline"/>
        </w:rPr>
        <w:t> </w:t>
      </w:r>
      <w:r>
        <w:rPr>
          <w:vertAlign w:val="baseline"/>
        </w:rPr>
        <w:t>are</w:t>
      </w:r>
      <w:r>
        <w:rPr>
          <w:spacing w:val="1"/>
          <w:vertAlign w:val="baseline"/>
        </w:rPr>
        <w:t> </w:t>
      </w:r>
      <w:r>
        <w:rPr>
          <w:vertAlign w:val="baseline"/>
        </w:rPr>
        <w:t>considered the most effective therapeutic options in</w:t>
      </w:r>
      <w:r>
        <w:rPr>
          <w:spacing w:val="1"/>
          <w:vertAlign w:val="baseline"/>
        </w:rPr>
        <w:t> </w:t>
      </w:r>
      <w:r>
        <w:rPr>
          <w:vertAlign w:val="baseline"/>
        </w:rPr>
        <w:t>children.</w:t>
      </w:r>
      <w:r>
        <w:rPr>
          <w:vertAlign w:val="superscript"/>
        </w:rPr>
        <w:t>4</w:t>
      </w:r>
    </w:p>
    <w:p>
      <w:pPr>
        <w:pStyle w:val="BodyText"/>
        <w:spacing w:before="1"/>
        <w:ind w:right="112"/>
        <w:jc w:val="both"/>
      </w:pPr>
      <w:r>
        <w:rPr/>
        <w:br w:type="column"/>
      </w:r>
      <w:r>
        <w:rPr/>
        <w:t>history of progressive dysphagia (initially to solids,</w:t>
      </w:r>
      <w:r>
        <w:rPr>
          <w:spacing w:val="1"/>
        </w:rPr>
        <w:t> </w:t>
      </w:r>
      <w:r>
        <w:rPr/>
        <w:t>and eventually progressing to liquids), with frequent</w:t>
      </w:r>
      <w:r>
        <w:rPr>
          <w:spacing w:val="1"/>
        </w:rPr>
        <w:t> </w:t>
      </w:r>
      <w:r>
        <w:rPr/>
        <w:t>regurgitation, occasional chest pain, and significant</w:t>
      </w:r>
      <w:r>
        <w:rPr>
          <w:spacing w:val="1"/>
        </w:rPr>
        <w:t> </w:t>
      </w:r>
      <w:r>
        <w:rPr>
          <w:spacing w:val="-1"/>
        </w:rPr>
        <w:t>weight</w:t>
      </w:r>
      <w:r>
        <w:rPr>
          <w:spacing w:val="-12"/>
        </w:rPr>
        <w:t> </w:t>
      </w:r>
      <w:r>
        <w:rPr>
          <w:spacing w:val="-1"/>
        </w:rPr>
        <w:t>loss</w:t>
      </w:r>
      <w:r>
        <w:rPr>
          <w:spacing w:val="-9"/>
        </w:rPr>
        <w:t> </w:t>
      </w:r>
      <w:r>
        <w:rPr>
          <w:spacing w:val="-1"/>
        </w:rPr>
        <w:t>(~60</w:t>
      </w:r>
      <w:r>
        <w:rPr>
          <w:spacing w:val="-7"/>
        </w:rPr>
        <w:t> </w:t>
      </w:r>
      <w:r>
        <w:rPr>
          <w:spacing w:val="-1"/>
        </w:rPr>
        <w:t>lbs</w:t>
      </w:r>
      <w:r>
        <w:rPr>
          <w:spacing w:val="-6"/>
        </w:rPr>
        <w:t> </w:t>
      </w:r>
      <w:r>
        <w:rPr>
          <w:spacing w:val="-1"/>
        </w:rPr>
        <w:t>or</w:t>
      </w:r>
      <w:r>
        <w:rPr>
          <w:spacing w:val="-11"/>
        </w:rPr>
        <w:t> </w:t>
      </w:r>
      <w:r>
        <w:rPr>
          <w:spacing w:val="-1"/>
        </w:rPr>
        <w:t>27kg</w:t>
      </w:r>
      <w:r>
        <w:rPr>
          <w:spacing w:val="-10"/>
        </w:rPr>
        <w:t> </w:t>
      </w:r>
      <w:r>
        <w:rPr/>
        <w:t>in</w:t>
      </w:r>
      <w:r>
        <w:rPr>
          <w:spacing w:val="-6"/>
        </w:rPr>
        <w:t> </w:t>
      </w:r>
      <w:r>
        <w:rPr/>
        <w:t>1</w:t>
      </w:r>
      <w:r>
        <w:rPr>
          <w:spacing w:val="-10"/>
        </w:rPr>
        <w:t> </w:t>
      </w:r>
      <w:r>
        <w:rPr/>
        <w:t>year).</w:t>
      </w:r>
      <w:r>
        <w:rPr>
          <w:spacing w:val="-6"/>
        </w:rPr>
        <w:t> </w:t>
      </w:r>
      <w:r>
        <w:rPr/>
        <w:t>The</w:t>
      </w:r>
      <w:r>
        <w:rPr>
          <w:spacing w:val="-10"/>
        </w:rPr>
        <w:t> </w:t>
      </w:r>
      <w:r>
        <w:rPr/>
        <w:t>patient</w:t>
      </w:r>
      <w:r>
        <w:rPr>
          <w:spacing w:val="-12"/>
        </w:rPr>
        <w:t> </w:t>
      </w:r>
      <w:r>
        <w:rPr/>
        <w:t>had</w:t>
      </w:r>
      <w:r>
        <w:rPr>
          <w:spacing w:val="-42"/>
        </w:rPr>
        <w:t> </w:t>
      </w:r>
      <w:r>
        <w:rPr/>
        <w:t>no known illnesses and this was the patient’s first</w:t>
      </w:r>
      <w:r>
        <w:rPr>
          <w:spacing w:val="1"/>
        </w:rPr>
        <w:t> </w:t>
      </w:r>
      <w:r>
        <w:rPr/>
        <w:t>admission. The patient had normal vital signs for age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unremarkable</w:t>
      </w:r>
      <w:r>
        <w:rPr>
          <w:spacing w:val="1"/>
        </w:rPr>
        <w:t> </w:t>
      </w:r>
      <w:r>
        <w:rPr/>
        <w:t>physical</w:t>
      </w:r>
      <w:r>
        <w:rPr>
          <w:spacing w:val="1"/>
        </w:rPr>
        <w:t> </w:t>
      </w:r>
      <w:r>
        <w:rPr/>
        <w:t>examination.</w:t>
      </w:r>
      <w:r>
        <w:rPr>
          <w:spacing w:val="1"/>
        </w:rPr>
        <w:t> </w:t>
      </w:r>
      <w:r>
        <w:rPr/>
        <w:t>Esophagoduodenoscopy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done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patient</w:t>
      </w:r>
      <w:r>
        <w:rPr>
          <w:spacing w:val="1"/>
        </w:rPr>
        <w:t> </w:t>
      </w:r>
      <w:r>
        <w:rPr/>
        <w:t>revealing absence of any mechanical obstruction or</w:t>
      </w:r>
      <w:r>
        <w:rPr>
          <w:spacing w:val="1"/>
        </w:rPr>
        <w:t> </w:t>
      </w:r>
      <w:r>
        <w:rPr/>
        <w:t>inflammatory</w:t>
      </w:r>
      <w:r>
        <w:rPr>
          <w:spacing w:val="87"/>
        </w:rPr>
        <w:t> </w:t>
      </w:r>
      <w:r>
        <w:rPr/>
        <w:t>cause</w:t>
      </w:r>
      <w:r>
        <w:rPr>
          <w:spacing w:val="89"/>
        </w:rPr>
        <w:t> </w:t>
      </w:r>
      <w:r>
        <w:rPr/>
        <w:t>of</w:t>
      </w:r>
      <w:r>
        <w:rPr>
          <w:spacing w:val="88"/>
        </w:rPr>
        <w:t> </w:t>
      </w:r>
      <w:r>
        <w:rPr/>
        <w:t>the</w:t>
      </w:r>
      <w:r>
        <w:rPr>
          <w:spacing w:val="89"/>
        </w:rPr>
        <w:t> </w:t>
      </w:r>
      <w:r>
        <w:rPr/>
        <w:t>patient’s  </w:t>
      </w:r>
      <w:r>
        <w:rPr>
          <w:spacing w:val="1"/>
        </w:rPr>
        <w:t> </w:t>
      </w:r>
      <w:r>
        <w:rPr/>
        <w:t>esophageal</w:t>
      </w:r>
    </w:p>
    <w:p>
      <w:pPr>
        <w:pStyle w:val="BodyText"/>
        <w:spacing w:before="39"/>
        <w:ind w:right="109"/>
        <w:jc w:val="both"/>
      </w:pPr>
      <w:r>
        <w:rPr/>
        <w:t>symptoms.</w:t>
      </w:r>
      <w:r>
        <w:rPr>
          <w:spacing w:val="1"/>
        </w:rPr>
        <w:t> </w:t>
      </w:r>
      <w:r>
        <w:rPr/>
        <w:t>Gastric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distal</w:t>
      </w:r>
      <w:r>
        <w:rPr>
          <w:spacing w:val="1"/>
        </w:rPr>
        <w:t> </w:t>
      </w:r>
      <w:r>
        <w:rPr/>
        <w:t>esophageal</w:t>
      </w:r>
      <w:r>
        <w:rPr>
          <w:spacing w:val="1"/>
        </w:rPr>
        <w:t> </w:t>
      </w:r>
      <w:r>
        <w:rPr/>
        <w:t>biopsy</w:t>
      </w:r>
      <w:r>
        <w:rPr>
          <w:spacing w:val="1"/>
        </w:rPr>
        <w:t> </w:t>
      </w:r>
      <w:r>
        <w:rPr/>
        <w:t>showed</w:t>
      </w:r>
      <w:r>
        <w:rPr>
          <w:spacing w:val="1"/>
        </w:rPr>
        <w:t> </w:t>
      </w:r>
      <w:r>
        <w:rPr/>
        <w:t>unremarkable</w:t>
      </w:r>
      <w:r>
        <w:rPr>
          <w:spacing w:val="1"/>
        </w:rPr>
        <w:t> </w:t>
      </w:r>
      <w:r>
        <w:rPr/>
        <w:t>results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active</w:t>
      </w:r>
      <w:r>
        <w:rPr>
          <w:spacing w:val="1"/>
        </w:rPr>
        <w:t> </w:t>
      </w:r>
      <w:r>
        <w:rPr/>
        <w:t>inflammation,</w:t>
      </w:r>
      <w:r>
        <w:rPr>
          <w:spacing w:val="1"/>
        </w:rPr>
        <w:t> </w:t>
      </w:r>
      <w:r>
        <w:rPr/>
        <w:t>intestinal</w:t>
      </w:r>
      <w:r>
        <w:rPr>
          <w:spacing w:val="1"/>
        </w:rPr>
        <w:t> </w:t>
      </w:r>
      <w:r>
        <w:rPr/>
        <w:t>metaplasia,</w:t>
      </w:r>
      <w:r>
        <w:rPr>
          <w:spacing w:val="1"/>
        </w:rPr>
        <w:t> </w:t>
      </w:r>
      <w:r>
        <w:rPr/>
        <w:t>atrophy,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dysplasia.</w:t>
      </w:r>
      <w:r>
        <w:rPr>
          <w:spacing w:val="1"/>
        </w:rPr>
        <w:t> </w:t>
      </w:r>
      <w:r>
        <w:rPr/>
        <w:t>Hence,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upper</w:t>
      </w:r>
      <w:r>
        <w:rPr>
          <w:spacing w:val="1"/>
        </w:rPr>
        <w:t> </w:t>
      </w:r>
      <w:r>
        <w:rPr/>
        <w:t>Gastrointestinal</w:t>
      </w:r>
      <w:r>
        <w:rPr>
          <w:spacing w:val="1"/>
        </w:rPr>
        <w:t> </w:t>
      </w:r>
      <w:r>
        <w:rPr/>
        <w:t>Series</w:t>
      </w:r>
      <w:r>
        <w:rPr>
          <w:spacing w:val="1"/>
        </w:rPr>
        <w:t> </w:t>
      </w:r>
      <w:r>
        <w:rPr/>
        <w:t>(UGIS) with barium contrast was facilitated. Results</w:t>
      </w:r>
      <w:r>
        <w:rPr>
          <w:spacing w:val="1"/>
        </w:rPr>
        <w:t> </w:t>
      </w:r>
      <w:r>
        <w:rPr/>
        <w:t>showed satisfactory swallowing mechanism, with no</w:t>
      </w:r>
      <w:r>
        <w:rPr>
          <w:spacing w:val="1"/>
        </w:rPr>
        <w:t> </w:t>
      </w:r>
      <w:r>
        <w:rPr/>
        <w:t>gross</w:t>
      </w:r>
      <w:r>
        <w:rPr>
          <w:spacing w:val="1"/>
        </w:rPr>
        <w:t> </w:t>
      </w:r>
      <w:r>
        <w:rPr/>
        <w:t>tracheal</w:t>
      </w:r>
      <w:r>
        <w:rPr>
          <w:spacing w:val="1"/>
        </w:rPr>
        <w:t> </w:t>
      </w:r>
      <w:r>
        <w:rPr/>
        <w:t>aspiration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nasopharyngeal</w:t>
      </w:r>
      <w:r>
        <w:rPr>
          <w:spacing w:val="1"/>
        </w:rPr>
        <w:t> </w:t>
      </w:r>
      <w:r>
        <w:rPr/>
        <w:t>regurgitation. However, there was narrowing at the</w:t>
      </w:r>
      <w:r>
        <w:rPr>
          <w:spacing w:val="1"/>
        </w:rPr>
        <w:t> </w:t>
      </w:r>
      <w:r>
        <w:rPr/>
        <w:t>region of the lower esophageal sphincter with lack of</w:t>
      </w:r>
      <w:r>
        <w:rPr>
          <w:spacing w:val="-43"/>
        </w:rPr>
        <w:t> </w:t>
      </w:r>
      <w:r>
        <w:rPr/>
        <w:t>peristalsis, dilatation, and pooling of contrast at the</w:t>
      </w:r>
      <w:r>
        <w:rPr>
          <w:spacing w:val="1"/>
        </w:rPr>
        <w:t> </w:t>
      </w:r>
      <w:r>
        <w:rPr/>
        <w:t>distal</w:t>
      </w:r>
      <w:r>
        <w:rPr>
          <w:spacing w:val="1"/>
        </w:rPr>
        <w:t> </w:t>
      </w:r>
      <w:r>
        <w:rPr/>
        <w:t>segment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esophagus.</w:t>
      </w:r>
      <w:r>
        <w:rPr>
          <w:spacing w:val="1"/>
        </w:rPr>
        <w:t> </w:t>
      </w:r>
      <w:r>
        <w:rPr/>
        <w:t>Findings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reflective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Achalasia</w:t>
      </w:r>
      <w:r>
        <w:rPr>
          <w:spacing w:val="1"/>
        </w:rPr>
        <w:t> </w:t>
      </w:r>
      <w:r>
        <w:rPr/>
        <w:t>(Figure</w:t>
      </w:r>
      <w:r>
        <w:rPr>
          <w:spacing w:val="1"/>
        </w:rPr>
        <w:t> </w:t>
      </w:r>
      <w:r>
        <w:rPr/>
        <w:t>1).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further</w:t>
      </w:r>
      <w:r>
        <w:rPr>
          <w:spacing w:val="1"/>
        </w:rPr>
        <w:t> </w:t>
      </w:r>
      <w:r>
        <w:rPr/>
        <w:t>strengthen the diagnosis, an Esophageal Manometry</w:t>
      </w:r>
      <w:r>
        <w:rPr>
          <w:spacing w:val="1"/>
        </w:rPr>
        <w:t> </w:t>
      </w:r>
      <w:r>
        <w:rPr>
          <w:spacing w:val="-1"/>
        </w:rPr>
        <w:t>test</w:t>
      </w:r>
      <w:r>
        <w:rPr>
          <w:spacing w:val="-11"/>
        </w:rPr>
        <w:t> </w:t>
      </w:r>
      <w:r>
        <w:rPr>
          <w:spacing w:val="-1"/>
        </w:rPr>
        <w:t>was</w:t>
      </w:r>
      <w:r>
        <w:rPr>
          <w:spacing w:val="-6"/>
        </w:rPr>
        <w:t> </w:t>
      </w:r>
      <w:r>
        <w:rPr>
          <w:spacing w:val="-1"/>
        </w:rPr>
        <w:t>done</w:t>
      </w:r>
      <w:r>
        <w:rPr>
          <w:spacing w:val="-9"/>
        </w:rPr>
        <w:t> </w:t>
      </w:r>
      <w:r>
        <w:rPr>
          <w:spacing w:val="-1"/>
        </w:rPr>
        <w:t>which</w:t>
      </w:r>
      <w:r>
        <w:rPr>
          <w:spacing w:val="-7"/>
        </w:rPr>
        <w:t> </w:t>
      </w:r>
      <w:r>
        <w:rPr>
          <w:spacing w:val="-1"/>
        </w:rPr>
        <w:t>showed</w:t>
      </w:r>
      <w:r>
        <w:rPr>
          <w:spacing w:val="-6"/>
        </w:rPr>
        <w:t> </w:t>
      </w:r>
      <w:r>
        <w:rPr/>
        <w:t>incomplete</w:t>
      </w:r>
      <w:r>
        <w:rPr>
          <w:spacing w:val="-7"/>
        </w:rPr>
        <w:t> </w:t>
      </w:r>
      <w:r>
        <w:rPr/>
        <w:t>relaxation</w:t>
      </w:r>
      <w:r>
        <w:rPr>
          <w:spacing w:val="-9"/>
        </w:rPr>
        <w:t> </w:t>
      </w:r>
      <w:r>
        <w:rPr/>
        <w:t>of</w:t>
      </w:r>
      <w:r>
        <w:rPr>
          <w:spacing w:val="-42"/>
        </w:rPr>
        <w:t> </w:t>
      </w:r>
      <w:r>
        <w:rPr/>
        <w:t>the LES in response to swallowing, high resting LES</w:t>
      </w:r>
      <w:r>
        <w:rPr>
          <w:spacing w:val="1"/>
        </w:rPr>
        <w:t> </w:t>
      </w:r>
      <w:r>
        <w:rPr/>
        <w:t>pressure,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absent</w:t>
      </w:r>
      <w:r>
        <w:rPr>
          <w:spacing w:val="-8"/>
        </w:rPr>
        <w:t> </w:t>
      </w:r>
      <w:r>
        <w:rPr/>
        <w:t>esophageal</w:t>
      </w:r>
      <w:r>
        <w:rPr>
          <w:spacing w:val="-8"/>
        </w:rPr>
        <w:t> </w:t>
      </w:r>
      <w:r>
        <w:rPr/>
        <w:t>peristalsis</w:t>
      </w:r>
      <w:r>
        <w:rPr>
          <w:spacing w:val="-6"/>
        </w:rPr>
        <w:t> </w:t>
      </w:r>
      <w:r>
        <w:rPr/>
        <w:t>(Figure</w:t>
      </w:r>
      <w:r>
        <w:rPr>
          <w:spacing w:val="-7"/>
        </w:rPr>
        <w:t> </w:t>
      </w:r>
      <w:r>
        <w:rPr/>
        <w:t>2)</w:t>
      </w:r>
      <w:r>
        <w:rPr>
          <w:spacing w:val="-43"/>
        </w:rPr>
        <w:t> </w:t>
      </w:r>
      <w:r>
        <w:rPr/>
        <w:t>which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consistent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Classic</w:t>
      </w:r>
      <w:r>
        <w:rPr>
          <w:spacing w:val="1"/>
        </w:rPr>
        <w:t> </w:t>
      </w:r>
      <w:r>
        <w:rPr/>
        <w:t>Achalasia</w:t>
      </w:r>
      <w:r>
        <w:rPr>
          <w:spacing w:val="-43"/>
        </w:rPr>
        <w:t> </w:t>
      </w:r>
      <w:r>
        <w:rPr/>
        <w:t>according to the Chicago Classification of Esophageal</w:t>
      </w:r>
      <w:r>
        <w:rPr>
          <w:spacing w:val="-43"/>
        </w:rPr>
        <w:t> </w:t>
      </w:r>
      <w:r>
        <w:rPr/>
        <w:t>Motility Disorders for manometry (Figure 3). A chest</w:t>
      </w:r>
      <w:r>
        <w:rPr>
          <w:spacing w:val="1"/>
        </w:rPr>
        <w:t> </w:t>
      </w:r>
      <w:r>
        <w:rPr/>
        <w:t>CT scan was also done for the patient which showed</w:t>
      </w:r>
      <w:r>
        <w:rPr>
          <w:spacing w:val="1"/>
        </w:rPr>
        <w:t> </w:t>
      </w:r>
      <w:r>
        <w:rPr/>
        <w:t>dilated intrathoracic esophagus down to the gastro-</w:t>
      </w:r>
      <w:r>
        <w:rPr>
          <w:spacing w:val="1"/>
        </w:rPr>
        <w:t> </w:t>
      </w:r>
      <w:r>
        <w:rPr/>
        <w:t>esophageal</w:t>
      </w:r>
      <w:r>
        <w:rPr>
          <w:spacing w:val="1"/>
        </w:rPr>
        <w:t> </w:t>
      </w:r>
      <w:r>
        <w:rPr/>
        <w:t>junction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air-fluid</w:t>
      </w:r>
      <w:r>
        <w:rPr>
          <w:spacing w:val="1"/>
        </w:rPr>
        <w:t> </w:t>
      </w:r>
      <w:r>
        <w:rPr/>
        <w:t>level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non-</w:t>
      </w:r>
      <w:r>
        <w:rPr>
          <w:spacing w:val="1"/>
        </w:rPr>
        <w:t> </w:t>
      </w:r>
      <w:r>
        <w:rPr/>
        <w:t>thickened walls reflective of Achalasia (Figure 4). The</w:t>
      </w:r>
      <w:r>
        <w:rPr>
          <w:spacing w:val="-43"/>
        </w:rPr>
        <w:t> </w:t>
      </w:r>
      <w:r>
        <w:rPr/>
        <w:t>patient then underwent Heller’s Myotomy with Dor</w:t>
      </w:r>
      <w:r>
        <w:rPr>
          <w:spacing w:val="1"/>
        </w:rPr>
        <w:t> </w:t>
      </w:r>
      <w:r>
        <w:rPr/>
        <w:t>Fundoplication which the patient tolerated well with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immediate</w:t>
      </w:r>
      <w:r>
        <w:rPr>
          <w:spacing w:val="1"/>
        </w:rPr>
        <w:t> </w:t>
      </w:r>
      <w:r>
        <w:rPr/>
        <w:t>post-operative</w:t>
      </w:r>
      <w:r>
        <w:rPr>
          <w:spacing w:val="1"/>
        </w:rPr>
        <w:t> </w:t>
      </w:r>
      <w:r>
        <w:rPr/>
        <w:t>complications</w:t>
      </w:r>
      <w:r>
        <w:rPr>
          <w:spacing w:val="1"/>
        </w:rPr>
        <w:t> </w:t>
      </w:r>
      <w:r>
        <w:rPr/>
        <w:t>noted.</w:t>
      </w:r>
      <w:r>
        <w:rPr>
          <w:spacing w:val="-43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2"/>
        </w:rPr>
        <w:t>patient</w:t>
      </w:r>
      <w:r>
        <w:rPr>
          <w:spacing w:val="-7"/>
        </w:rPr>
        <w:t> </w:t>
      </w:r>
      <w:r>
        <w:rPr>
          <w:spacing w:val="-1"/>
        </w:rPr>
        <w:t>was</w:t>
      </w:r>
      <w:r>
        <w:rPr>
          <w:spacing w:val="-9"/>
        </w:rPr>
        <w:t> </w:t>
      </w:r>
      <w:r>
        <w:rPr>
          <w:spacing w:val="-1"/>
        </w:rPr>
        <w:t>admitted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a</w:t>
      </w:r>
      <w:r>
        <w:rPr>
          <w:spacing w:val="-12"/>
        </w:rPr>
        <w:t> </w:t>
      </w:r>
      <w:r>
        <w:rPr>
          <w:spacing w:val="-1"/>
        </w:rPr>
        <w:t>total</w:t>
      </w:r>
      <w:r>
        <w:rPr>
          <w:spacing w:val="-7"/>
        </w:rPr>
        <w:t> </w:t>
      </w:r>
      <w:r>
        <w:rPr>
          <w:spacing w:val="-1"/>
        </w:rPr>
        <w:t>of</w:t>
      </w:r>
      <w:r>
        <w:rPr>
          <w:spacing w:val="-6"/>
        </w:rPr>
        <w:t> </w:t>
      </w:r>
      <w:r>
        <w:rPr>
          <w:spacing w:val="-1"/>
        </w:rPr>
        <w:t>7</w:t>
      </w:r>
      <w:r>
        <w:rPr>
          <w:spacing w:val="-12"/>
        </w:rPr>
        <w:t> </w:t>
      </w:r>
      <w:r>
        <w:rPr>
          <w:spacing w:val="-1"/>
        </w:rPr>
        <w:t>days</w:t>
      </w:r>
      <w:r>
        <w:rPr>
          <w:spacing w:val="-9"/>
        </w:rPr>
        <w:t> </w:t>
      </w:r>
      <w:r>
        <w:rPr>
          <w:spacing w:val="-1"/>
        </w:rPr>
        <w:t>for</w:t>
      </w:r>
      <w:r>
        <w:rPr>
          <w:spacing w:val="-11"/>
        </w:rPr>
        <w:t> </w:t>
      </w:r>
      <w:r>
        <w:rPr>
          <w:spacing w:val="-1"/>
        </w:rPr>
        <w:t>post-</w:t>
      </w:r>
      <w:r>
        <w:rPr>
          <w:spacing w:val="-43"/>
        </w:rPr>
        <w:t> </w:t>
      </w:r>
      <w:r>
        <w:rPr/>
        <w:t>operative care. The patient was initially placed on</w:t>
      </w:r>
      <w:r>
        <w:rPr>
          <w:spacing w:val="1"/>
        </w:rPr>
        <w:t> </w:t>
      </w:r>
      <w:r>
        <w:rPr/>
        <w:t>NPO for 24 hours post-operatively and feeding was</w:t>
      </w:r>
      <w:r>
        <w:rPr>
          <w:spacing w:val="1"/>
        </w:rPr>
        <w:t> </w:t>
      </w:r>
      <w:r>
        <w:rPr>
          <w:spacing w:val="-1"/>
        </w:rPr>
        <w:t>slowly</w:t>
      </w:r>
      <w:r>
        <w:rPr>
          <w:spacing w:val="-10"/>
        </w:rPr>
        <w:t> </w:t>
      </w:r>
      <w:r>
        <w:rPr>
          <w:spacing w:val="-1"/>
        </w:rPr>
        <w:t>progressed</w:t>
      </w:r>
      <w:r>
        <w:rPr>
          <w:spacing w:val="-6"/>
        </w:rPr>
        <w:t> </w:t>
      </w:r>
      <w:r>
        <w:rPr/>
        <w:t>until</w:t>
      </w:r>
      <w:r>
        <w:rPr>
          <w:spacing w:val="-10"/>
        </w:rPr>
        <w:t> </w:t>
      </w:r>
      <w:r>
        <w:rPr/>
        <w:t>diet</w:t>
      </w:r>
      <w:r>
        <w:rPr>
          <w:spacing w:val="-10"/>
        </w:rPr>
        <w:t> </w:t>
      </w:r>
      <w:r>
        <w:rPr/>
        <w:t>as</w:t>
      </w:r>
      <w:r>
        <w:rPr>
          <w:spacing w:val="-7"/>
        </w:rPr>
        <w:t> </w:t>
      </w:r>
      <w:r>
        <w:rPr/>
        <w:t>tolerated</w:t>
      </w:r>
      <w:r>
        <w:rPr>
          <w:spacing w:val="-8"/>
        </w:rPr>
        <w:t> </w:t>
      </w:r>
      <w:r>
        <w:rPr/>
        <w:t>was</w:t>
      </w:r>
      <w:r>
        <w:rPr>
          <w:spacing w:val="-7"/>
        </w:rPr>
        <w:t> </w:t>
      </w:r>
      <w:r>
        <w:rPr/>
        <w:t>achieved</w:t>
      </w:r>
      <w:r>
        <w:rPr>
          <w:spacing w:val="-43"/>
        </w:rPr>
        <w:t> </w:t>
      </w:r>
      <w:r>
        <w:rPr/>
        <w:t>prior</w:t>
      </w:r>
      <w:r>
        <w:rPr>
          <w:spacing w:val="7"/>
        </w:rPr>
        <w:t> </w:t>
      </w:r>
      <w:r>
        <w:rPr/>
        <w:t>to</w:t>
      </w:r>
      <w:r>
        <w:rPr>
          <w:spacing w:val="8"/>
        </w:rPr>
        <w:t> </w:t>
      </w:r>
      <w:r>
        <w:rPr/>
        <w:t>discharge.</w:t>
      </w:r>
      <w:r>
        <w:rPr>
          <w:spacing w:val="8"/>
        </w:rPr>
        <w:t> </w:t>
      </w:r>
      <w:r>
        <w:rPr/>
        <w:t>The</w:t>
      </w:r>
      <w:r>
        <w:rPr>
          <w:spacing w:val="8"/>
        </w:rPr>
        <w:t> </w:t>
      </w:r>
      <w:r>
        <w:rPr/>
        <w:t>patient</w:t>
      </w:r>
      <w:r>
        <w:rPr>
          <w:spacing w:val="7"/>
        </w:rPr>
        <w:t> </w:t>
      </w:r>
      <w:r>
        <w:rPr/>
        <w:t>had</w:t>
      </w:r>
      <w:r>
        <w:rPr>
          <w:spacing w:val="11"/>
        </w:rPr>
        <w:t> </w:t>
      </w:r>
      <w:r>
        <w:rPr/>
        <w:t>an</w:t>
      </w:r>
      <w:r>
        <w:rPr>
          <w:spacing w:val="8"/>
        </w:rPr>
        <w:t> </w:t>
      </w:r>
      <w:r>
        <w:rPr/>
        <w:t>unremarkable</w:t>
      </w:r>
    </w:p>
    <w:p>
      <w:pPr>
        <w:spacing w:after="0"/>
        <w:jc w:val="both"/>
        <w:sectPr>
          <w:type w:val="continuous"/>
          <w:pgSz w:w="12240" w:h="15840"/>
          <w:pgMar w:top="1220" w:bottom="960" w:left="1300" w:right="1320"/>
          <w:cols w:num="2" w:equalWidth="0">
            <w:col w:w="4510" w:space="527"/>
            <w:col w:w="4583"/>
          </w:cols>
        </w:sectPr>
      </w:pPr>
    </w:p>
    <w:p>
      <w:pPr>
        <w:pStyle w:val="BodyText"/>
        <w:spacing w:before="35"/>
        <w:ind w:right="36"/>
      </w:pPr>
      <w:r>
        <w:rPr/>
        <w:t>hospital</w:t>
      </w:r>
      <w:r>
        <w:rPr>
          <w:spacing w:val="7"/>
        </w:rPr>
        <w:t> </w:t>
      </w:r>
      <w:r>
        <w:rPr/>
        <w:t>course</w:t>
      </w:r>
      <w:r>
        <w:rPr>
          <w:spacing w:val="9"/>
        </w:rPr>
        <w:t> </w:t>
      </w:r>
      <w:r>
        <w:rPr/>
        <w:t>with</w:t>
      </w:r>
      <w:r>
        <w:rPr>
          <w:spacing w:val="11"/>
        </w:rPr>
        <w:t> </w:t>
      </w:r>
      <w:r>
        <w:rPr/>
        <w:t>no</w:t>
      </w:r>
      <w:r>
        <w:rPr>
          <w:spacing w:val="8"/>
        </w:rPr>
        <w:t> </w:t>
      </w:r>
      <w:r>
        <w:rPr/>
        <w:t>noted</w:t>
      </w:r>
      <w:r>
        <w:rPr>
          <w:spacing w:val="14"/>
        </w:rPr>
        <w:t> </w:t>
      </w:r>
      <w:r>
        <w:rPr/>
        <w:t>regurgitation</w:t>
      </w:r>
      <w:r>
        <w:rPr>
          <w:spacing w:val="13"/>
        </w:rPr>
        <w:t> </w:t>
      </w:r>
      <w:r>
        <w:rPr/>
        <w:t>or</w:t>
      </w:r>
      <w:r>
        <w:rPr>
          <w:spacing w:val="8"/>
        </w:rPr>
        <w:t> </w:t>
      </w:r>
      <w:r>
        <w:rPr/>
        <w:t>chest</w:t>
      </w:r>
      <w:r>
        <w:rPr>
          <w:spacing w:val="-42"/>
        </w:rPr>
        <w:t> </w:t>
      </w:r>
      <w:r>
        <w:rPr/>
        <w:t>pain</w:t>
      </w:r>
      <w:r>
        <w:rPr>
          <w:spacing w:val="-4"/>
        </w:rPr>
        <w:t> </w:t>
      </w:r>
      <w:r>
        <w:rPr/>
        <w:t>post-operatively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was</w:t>
      </w:r>
      <w:r>
        <w:rPr>
          <w:spacing w:val="-2"/>
        </w:rPr>
        <w:t> </w:t>
      </w:r>
      <w:r>
        <w:rPr/>
        <w:t>discharged</w:t>
      </w:r>
      <w:r>
        <w:rPr>
          <w:spacing w:val="-2"/>
        </w:rPr>
        <w:t> </w:t>
      </w:r>
      <w:r>
        <w:rPr/>
        <w:t>well.</w:t>
      </w:r>
    </w:p>
    <w:p>
      <w:pPr>
        <w:pStyle w:val="BodyText"/>
        <w:spacing w:before="3"/>
        <w:ind w:left="0"/>
        <w:rPr>
          <w:sz w:val="3"/>
        </w:rPr>
      </w:pPr>
      <w:r>
        <w:rPr/>
        <w:br w:type="column"/>
      </w:r>
      <w:r>
        <w:rPr>
          <w:sz w:val="3"/>
        </w:rPr>
      </w:r>
    </w:p>
    <w:p>
      <w:pPr>
        <w:pStyle w:val="BodyText"/>
        <w:ind w:left="404"/>
      </w:pPr>
      <w:r>
        <w:rPr/>
        <w:drawing>
          <wp:inline distT="0" distB="0" distL="0" distR="0">
            <wp:extent cx="2087613" cy="1671637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613" cy="167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3"/>
        <w:ind w:right="360"/>
        <w:jc w:val="center"/>
      </w:pPr>
      <w:r>
        <w:rPr>
          <w:i/>
        </w:rPr>
        <w:t>Figure</w:t>
      </w:r>
      <w:r>
        <w:rPr>
          <w:i/>
          <w:spacing w:val="-4"/>
        </w:rPr>
        <w:t> </w:t>
      </w:r>
      <w:r>
        <w:rPr>
          <w:i/>
        </w:rPr>
        <w:t>4</w:t>
      </w:r>
      <w:r>
        <w:rPr/>
        <w:t>.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patient’s</w:t>
      </w:r>
      <w:r>
        <w:rPr>
          <w:spacing w:val="-1"/>
        </w:rPr>
        <w:t> </w:t>
      </w:r>
      <w:r>
        <w:rPr/>
        <w:t>CT</w:t>
      </w:r>
      <w:r>
        <w:rPr>
          <w:spacing w:val="-5"/>
        </w:rPr>
        <w:t> </w:t>
      </w:r>
      <w:r>
        <w:rPr/>
        <w:t>scan</w:t>
      </w:r>
      <w:r>
        <w:rPr>
          <w:spacing w:val="-3"/>
        </w:rPr>
        <w:t> </w:t>
      </w:r>
      <w:r>
        <w:rPr/>
        <w:t>result</w:t>
      </w:r>
      <w:r>
        <w:rPr>
          <w:spacing w:val="-4"/>
        </w:rPr>
        <w:t> </w:t>
      </w:r>
      <w:r>
        <w:rPr/>
        <w:t>showing</w:t>
      </w:r>
      <w:r>
        <w:rPr>
          <w:spacing w:val="-2"/>
        </w:rPr>
        <w:t> </w:t>
      </w:r>
      <w:r>
        <w:rPr/>
        <w:t>a</w:t>
      </w:r>
      <w:r>
        <w:rPr>
          <w:spacing w:val="-43"/>
        </w:rPr>
        <w:t> </w:t>
      </w:r>
      <w:r>
        <w:rPr/>
        <w:t>dilated intrathoracic esophagus down to the</w:t>
      </w:r>
      <w:r>
        <w:rPr>
          <w:spacing w:val="1"/>
        </w:rPr>
        <w:t> </w:t>
      </w:r>
      <w:r>
        <w:rPr/>
        <w:t>gastroesophageal</w:t>
      </w:r>
      <w:r>
        <w:rPr>
          <w:spacing w:val="-3"/>
        </w:rPr>
        <w:t> </w:t>
      </w:r>
      <w:r>
        <w:rPr/>
        <w:t>junction</w:t>
      </w:r>
    </w:p>
    <w:p>
      <w:pPr>
        <w:spacing w:after="0"/>
        <w:jc w:val="center"/>
        <w:sectPr>
          <w:pgSz w:w="12240" w:h="15840"/>
          <w:pgMar w:header="0" w:footer="769" w:top="1380" w:bottom="960" w:left="1300" w:right="1320"/>
          <w:cols w:num="2" w:equalWidth="0">
            <w:col w:w="4502" w:space="780"/>
            <w:col w:w="4338"/>
          </w:cols>
        </w:sectPr>
      </w:pPr>
    </w:p>
    <w:p>
      <w:pPr>
        <w:pStyle w:val="BodyText"/>
        <w:spacing w:before="143"/>
        <w:ind w:left="150" w:right="38"/>
        <w:jc w:val="center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1701800</wp:posOffset>
            </wp:positionH>
            <wp:positionV relativeFrom="paragraph">
              <wp:posOffset>-1674984</wp:posOffset>
            </wp:positionV>
            <wp:extent cx="1210310" cy="176136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76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Figure</w:t>
      </w:r>
      <w:r>
        <w:rPr>
          <w:i/>
          <w:spacing w:val="-5"/>
        </w:rPr>
        <w:t> </w:t>
      </w:r>
      <w:r>
        <w:rPr>
          <w:i/>
        </w:rPr>
        <w:t>1</w:t>
      </w:r>
      <w:r>
        <w:rPr/>
        <w:t>.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patient’s</w:t>
      </w:r>
      <w:r>
        <w:rPr>
          <w:spacing w:val="-2"/>
        </w:rPr>
        <w:t> </w:t>
      </w:r>
      <w:r>
        <w:rPr/>
        <w:t>upper</w:t>
      </w:r>
      <w:r>
        <w:rPr>
          <w:spacing w:val="-4"/>
        </w:rPr>
        <w:t> </w:t>
      </w:r>
      <w:r>
        <w:rPr/>
        <w:t>GI</w:t>
      </w:r>
      <w:r>
        <w:rPr>
          <w:spacing w:val="-3"/>
        </w:rPr>
        <w:t> </w:t>
      </w:r>
      <w:r>
        <w:rPr/>
        <w:t>series</w:t>
      </w:r>
      <w:r>
        <w:rPr>
          <w:spacing w:val="-2"/>
        </w:rPr>
        <w:t> </w:t>
      </w:r>
      <w:r>
        <w:rPr/>
        <w:t>result</w:t>
      </w:r>
      <w:r>
        <w:rPr>
          <w:spacing w:val="-5"/>
        </w:rPr>
        <w:t> </w:t>
      </w:r>
      <w:r>
        <w:rPr/>
        <w:t>showing</w:t>
      </w:r>
      <w:r>
        <w:rPr>
          <w:spacing w:val="-42"/>
        </w:rPr>
        <w:t> </w:t>
      </w:r>
      <w:r>
        <w:rPr/>
        <w:t>a narrowing at the region of the lower esophageal</w:t>
      </w:r>
      <w:r>
        <w:rPr>
          <w:spacing w:val="1"/>
        </w:rPr>
        <w:t> </w:t>
      </w:r>
      <w:r>
        <w:rPr/>
        <w:t>sphincter with dilatation of the distal segment of the</w:t>
      </w:r>
      <w:r>
        <w:rPr>
          <w:spacing w:val="-43"/>
        </w:rPr>
        <w:t> </w:t>
      </w:r>
      <w:r>
        <w:rPr/>
        <w:t>esophagus—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classic</w:t>
      </w:r>
      <w:r>
        <w:rPr>
          <w:spacing w:val="-1"/>
        </w:rPr>
        <w:t> </w:t>
      </w:r>
      <w:r>
        <w:rPr/>
        <w:t>“bird’s beak” sign</w:t>
      </w:r>
    </w:p>
    <w:p>
      <w:pPr>
        <w:pStyle w:val="BodyText"/>
        <w:spacing w:line="243" w:lineRule="exact"/>
        <w:ind w:left="280" w:right="176"/>
        <w:jc w:val="center"/>
      </w:pPr>
      <w:r>
        <w:rPr/>
        <w:t>indicative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Achalasia.</w:t>
      </w:r>
    </w:p>
    <w:p>
      <w:pPr>
        <w:pStyle w:val="BodyText"/>
        <w:spacing w:before="10"/>
        <w:ind w:left="0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1174750</wp:posOffset>
            </wp:positionH>
            <wp:positionV relativeFrom="paragraph">
              <wp:posOffset>155331</wp:posOffset>
            </wp:positionV>
            <wp:extent cx="2223138" cy="1347787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3138" cy="1347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285" w:right="176"/>
        <w:jc w:val="center"/>
      </w:pPr>
      <w:r>
        <w:rPr>
          <w:i/>
        </w:rPr>
        <w:t>Figure</w:t>
      </w:r>
      <w:r>
        <w:rPr>
          <w:i/>
          <w:spacing w:val="-6"/>
        </w:rPr>
        <w:t> </w:t>
      </w:r>
      <w:r>
        <w:rPr>
          <w:i/>
        </w:rPr>
        <w:t>2</w:t>
      </w:r>
      <w:r>
        <w:rPr/>
        <w:t>.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patient’s</w:t>
      </w:r>
      <w:r>
        <w:rPr>
          <w:spacing w:val="-3"/>
        </w:rPr>
        <w:t> </w:t>
      </w:r>
      <w:r>
        <w:rPr/>
        <w:t>manometry</w:t>
      </w:r>
      <w:r>
        <w:rPr>
          <w:spacing w:val="-6"/>
        </w:rPr>
        <w:t> </w:t>
      </w:r>
      <w:r>
        <w:rPr/>
        <w:t>result</w:t>
      </w:r>
      <w:r>
        <w:rPr>
          <w:spacing w:val="-6"/>
        </w:rPr>
        <w:t> </w:t>
      </w:r>
      <w:r>
        <w:rPr/>
        <w:t>showing</w:t>
      </w:r>
      <w:r>
        <w:rPr>
          <w:spacing w:val="-42"/>
        </w:rPr>
        <w:t> </w:t>
      </w:r>
      <w:r>
        <w:rPr/>
        <w:t>high resting LES pressure and absent esophageal</w:t>
      </w:r>
      <w:r>
        <w:rPr>
          <w:spacing w:val="1"/>
        </w:rPr>
        <w:t> </w:t>
      </w:r>
      <w:r>
        <w:rPr/>
        <w:t>peristalsis</w:t>
      </w:r>
      <w:r>
        <w:rPr>
          <w:spacing w:val="-1"/>
        </w:rPr>
        <w:t> </w:t>
      </w:r>
      <w:r>
        <w:rPr/>
        <w:t>consistent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Classic</w:t>
      </w:r>
      <w:r>
        <w:rPr>
          <w:spacing w:val="-2"/>
        </w:rPr>
        <w:t> </w:t>
      </w:r>
      <w:r>
        <w:rPr/>
        <w:t>Achalasia</w:t>
      </w:r>
    </w:p>
    <w:p>
      <w:pPr>
        <w:pStyle w:val="BodyText"/>
        <w:ind w:left="285" w:right="174"/>
        <w:jc w:val="center"/>
      </w:pPr>
      <w:r>
        <w:rPr/>
        <w:t>according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Chicago</w:t>
      </w:r>
      <w:r>
        <w:rPr>
          <w:spacing w:val="-6"/>
        </w:rPr>
        <w:t> </w:t>
      </w:r>
      <w:r>
        <w:rPr/>
        <w:t>Classification</w:t>
      </w:r>
      <w:r>
        <w:rPr>
          <w:spacing w:val="-6"/>
        </w:rPr>
        <w:t> </w:t>
      </w:r>
      <w:r>
        <w:rPr/>
        <w:t>of</w:t>
      </w:r>
      <w:r>
        <w:rPr>
          <w:spacing w:val="-42"/>
        </w:rPr>
        <w:t> </w:t>
      </w:r>
      <w:r>
        <w:rPr/>
        <w:t>Esophageal</w:t>
      </w:r>
      <w:r>
        <w:rPr>
          <w:spacing w:val="-4"/>
        </w:rPr>
        <w:t> </w:t>
      </w:r>
      <w:r>
        <w:rPr/>
        <w:t>Motility</w:t>
      </w:r>
      <w:r>
        <w:rPr>
          <w:spacing w:val="-2"/>
        </w:rPr>
        <w:t> </w:t>
      </w:r>
      <w:r>
        <w:rPr/>
        <w:t>Disorders.</w:t>
      </w:r>
    </w:p>
    <w:p>
      <w:pPr>
        <w:pStyle w:val="BodyText"/>
        <w:spacing w:before="7"/>
        <w:ind w:left="0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1367155</wp:posOffset>
            </wp:positionH>
            <wp:positionV relativeFrom="paragraph">
              <wp:posOffset>138301</wp:posOffset>
            </wp:positionV>
            <wp:extent cx="1835315" cy="1681162"/>
            <wp:effectExtent l="0" t="0" r="0" b="0"/>
            <wp:wrapTopAndBottom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315" cy="1681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33" w:lineRule="exact"/>
        <w:ind w:left="285" w:right="174"/>
        <w:jc w:val="center"/>
      </w:pPr>
      <w:r>
        <w:rPr>
          <w:i/>
        </w:rPr>
        <w:t>Figure</w:t>
      </w:r>
      <w:r>
        <w:rPr>
          <w:i/>
          <w:spacing w:val="-4"/>
        </w:rPr>
        <w:t> </w:t>
      </w:r>
      <w:r>
        <w:rPr>
          <w:i/>
        </w:rPr>
        <w:t>3</w:t>
      </w:r>
      <w:r>
        <w:rPr/>
        <w:t>.</w:t>
      </w:r>
      <w:r>
        <w:rPr>
          <w:spacing w:val="-4"/>
        </w:rPr>
        <w:t> </w:t>
      </w:r>
      <w:r>
        <w:rPr/>
        <w:t>Examples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manometry</w:t>
      </w:r>
      <w:r>
        <w:rPr>
          <w:spacing w:val="-4"/>
        </w:rPr>
        <w:t> </w:t>
      </w:r>
      <w:r>
        <w:rPr/>
        <w:t>color</w:t>
      </w:r>
      <w:r>
        <w:rPr>
          <w:spacing w:val="-3"/>
        </w:rPr>
        <w:t> </w:t>
      </w:r>
      <w:r>
        <w:rPr/>
        <w:t>plots</w:t>
      </w:r>
    </w:p>
    <w:p>
      <w:pPr>
        <w:pStyle w:val="BodyText"/>
        <w:ind w:left="150" w:right="33"/>
        <w:jc w:val="center"/>
      </w:pPr>
      <w:r>
        <w:rPr/>
        <w:t>showing</w:t>
      </w:r>
      <w:r>
        <w:rPr>
          <w:spacing w:val="-6"/>
        </w:rPr>
        <w:t> </w:t>
      </w:r>
      <w:r>
        <w:rPr/>
        <w:t>individual</w:t>
      </w:r>
      <w:r>
        <w:rPr>
          <w:spacing w:val="-7"/>
        </w:rPr>
        <w:t> </w:t>
      </w:r>
      <w:r>
        <w:rPr/>
        <w:t>disorders</w:t>
      </w:r>
      <w:r>
        <w:rPr>
          <w:spacing w:val="-3"/>
        </w:rPr>
        <w:t> </w:t>
      </w:r>
      <w:r>
        <w:rPr/>
        <w:t>based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Chicago</w:t>
      </w:r>
      <w:r>
        <w:rPr>
          <w:spacing w:val="-42"/>
        </w:rPr>
        <w:t> </w:t>
      </w:r>
      <w:r>
        <w:rPr/>
        <w:t>Classification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manometric</w:t>
      </w:r>
      <w:r>
        <w:rPr>
          <w:spacing w:val="3"/>
        </w:rPr>
        <w:t> </w:t>
      </w:r>
      <w:r>
        <w:rPr/>
        <w:t>findings.</w:t>
      </w:r>
    </w:p>
    <w:p>
      <w:pPr>
        <w:pStyle w:val="BodyText"/>
        <w:spacing w:before="3"/>
        <w:ind w:left="0"/>
      </w:pPr>
      <w:r>
        <w:rPr/>
        <w:br w:type="column"/>
      </w:r>
      <w:r>
        <w:rPr/>
      </w:r>
    </w:p>
    <w:p>
      <w:pPr>
        <w:pStyle w:val="Heading1"/>
        <w:spacing w:before="1"/>
        <w:ind w:left="150"/>
      </w:pPr>
      <w:r>
        <w:rPr/>
        <w:t>Differentials</w:t>
      </w:r>
    </w:p>
    <w:p>
      <w:pPr>
        <w:pStyle w:val="BodyText"/>
        <w:spacing w:before="1"/>
        <w:ind w:left="150" w:right="109" w:firstLine="720"/>
        <w:jc w:val="both"/>
      </w:pPr>
      <w:r>
        <w:rPr/>
        <w:t>The</w:t>
      </w:r>
      <w:r>
        <w:rPr>
          <w:spacing w:val="1"/>
        </w:rPr>
        <w:t> </w:t>
      </w:r>
      <w:r>
        <w:rPr/>
        <w:t>differential</w:t>
      </w:r>
      <w:r>
        <w:rPr>
          <w:spacing w:val="1"/>
        </w:rPr>
        <w:t> </w:t>
      </w:r>
      <w:r>
        <w:rPr/>
        <w:t>diagnosis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achalasia</w:t>
      </w:r>
      <w:r>
        <w:rPr>
          <w:spacing w:val="1"/>
        </w:rPr>
        <w:t> </w:t>
      </w:r>
      <w:r>
        <w:rPr/>
        <w:t>includes</w:t>
      </w:r>
      <w:r>
        <w:rPr>
          <w:spacing w:val="1"/>
        </w:rPr>
        <w:t> </w:t>
      </w:r>
      <w:r>
        <w:rPr/>
        <w:t>gastroesophageal</w:t>
      </w:r>
      <w:r>
        <w:rPr>
          <w:spacing w:val="1"/>
        </w:rPr>
        <w:t> </w:t>
      </w:r>
      <w:r>
        <w:rPr/>
        <w:t>reflux</w:t>
      </w:r>
      <w:r>
        <w:rPr>
          <w:spacing w:val="1"/>
        </w:rPr>
        <w:t> </w:t>
      </w:r>
      <w:r>
        <w:rPr/>
        <w:t>disease</w:t>
      </w:r>
      <w:r>
        <w:rPr>
          <w:spacing w:val="1"/>
        </w:rPr>
        <w:t> </w:t>
      </w:r>
      <w:r>
        <w:rPr/>
        <w:t>(GERD),</w:t>
      </w:r>
      <w:r>
        <w:rPr>
          <w:spacing w:val="1"/>
        </w:rPr>
        <w:t> </w:t>
      </w:r>
      <w:r>
        <w:rPr/>
        <w:t>especially in patients with chest pain of a burning</w:t>
      </w:r>
      <w:r>
        <w:rPr>
          <w:spacing w:val="1"/>
        </w:rPr>
        <w:t> </w:t>
      </w:r>
      <w:r>
        <w:rPr/>
        <w:t>quality</w:t>
      </w:r>
      <w:r>
        <w:rPr>
          <w:spacing w:val="1"/>
        </w:rPr>
        <w:t> </w:t>
      </w:r>
      <w:r>
        <w:rPr/>
        <w:t>typical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heartburn,</w:t>
      </w:r>
      <w:r>
        <w:rPr>
          <w:spacing w:val="1"/>
        </w:rPr>
        <w:t> </w:t>
      </w:r>
      <w:r>
        <w:rPr/>
        <w:t>other</w:t>
      </w:r>
      <w:r>
        <w:rPr>
          <w:spacing w:val="1"/>
        </w:rPr>
        <w:t> </w:t>
      </w:r>
      <w:r>
        <w:rPr/>
        <w:t>esophageal</w:t>
      </w:r>
      <w:r>
        <w:rPr>
          <w:spacing w:val="1"/>
        </w:rPr>
        <w:t> </w:t>
      </w:r>
      <w:r>
        <w:rPr/>
        <w:t>motility</w:t>
      </w:r>
      <w:r>
        <w:rPr>
          <w:spacing w:val="1"/>
        </w:rPr>
        <w:t> </w:t>
      </w:r>
      <w:r>
        <w:rPr/>
        <w:t>disorders,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pseudoachalasia</w:t>
      </w:r>
      <w:r>
        <w:rPr>
          <w:spacing w:val="1"/>
        </w:rPr>
        <w:t> </w:t>
      </w: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>
          <w:spacing w:val="-2"/>
        </w:rPr>
        <w:t>malignancy.</w:t>
      </w:r>
      <w:r>
        <w:rPr>
          <w:spacing w:val="-6"/>
        </w:rPr>
        <w:t> </w:t>
      </w:r>
      <w:r>
        <w:rPr>
          <w:spacing w:val="-1"/>
        </w:rPr>
        <w:t>These</w:t>
      </w:r>
      <w:r>
        <w:rPr>
          <w:spacing w:val="-10"/>
        </w:rPr>
        <w:t> </w:t>
      </w:r>
      <w:r>
        <w:rPr>
          <w:spacing w:val="-1"/>
        </w:rPr>
        <w:t>were</w:t>
      </w:r>
      <w:r>
        <w:rPr>
          <w:spacing w:val="-10"/>
        </w:rPr>
        <w:t> </w:t>
      </w:r>
      <w:r>
        <w:rPr>
          <w:spacing w:val="-1"/>
        </w:rPr>
        <w:t>all</w:t>
      </w:r>
      <w:r>
        <w:rPr>
          <w:spacing w:val="-11"/>
        </w:rPr>
        <w:t> </w:t>
      </w:r>
      <w:r>
        <w:rPr>
          <w:spacing w:val="-1"/>
        </w:rPr>
        <w:t>considered</w:t>
      </w:r>
      <w:r>
        <w:rPr>
          <w:spacing w:val="-10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our</w:t>
      </w:r>
      <w:r>
        <w:rPr>
          <w:spacing w:val="-11"/>
        </w:rPr>
        <w:t> </w:t>
      </w:r>
      <w:r>
        <w:rPr>
          <w:spacing w:val="-1"/>
        </w:rPr>
        <w:t>patient,</w:t>
      </w:r>
      <w:r>
        <w:rPr>
          <w:spacing w:val="-43"/>
        </w:rPr>
        <w:t> </w:t>
      </w:r>
      <w:r>
        <w:rPr/>
        <w:t>hence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need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11"/>
        </w:rPr>
        <w:t> </w:t>
      </w:r>
      <w:r>
        <w:rPr/>
        <w:t>complete</w:t>
      </w:r>
      <w:r>
        <w:rPr>
          <w:spacing w:val="-5"/>
        </w:rPr>
        <w:t> </w:t>
      </w:r>
      <w:r>
        <w:rPr/>
        <w:t>workup.</w:t>
      </w:r>
      <w:r>
        <w:rPr>
          <w:spacing w:val="-4"/>
        </w:rPr>
        <w:t> </w:t>
      </w:r>
      <w:r>
        <w:rPr/>
        <w:t>Here</w:t>
      </w:r>
      <w:r>
        <w:rPr>
          <w:spacing w:val="-4"/>
        </w:rPr>
        <w:t> </w:t>
      </w:r>
      <w:r>
        <w:rPr/>
        <w:t>we</w:t>
      </w:r>
      <w:r>
        <w:rPr>
          <w:spacing w:val="-5"/>
        </w:rPr>
        <w:t> </w:t>
      </w:r>
      <w:r>
        <w:rPr/>
        <w:t>note</w:t>
      </w:r>
      <w:r>
        <w:rPr>
          <w:spacing w:val="-43"/>
        </w:rPr>
        <w:t> </w:t>
      </w:r>
      <w:r>
        <w:rPr/>
        <w:t>the</w:t>
      </w:r>
      <w:r>
        <w:rPr>
          <w:spacing w:val="-5"/>
        </w:rPr>
        <w:t> </w:t>
      </w:r>
      <w:r>
        <w:rPr/>
        <w:t>similarities</w:t>
      </w:r>
      <w:r>
        <w:rPr>
          <w:spacing w:val="-1"/>
        </w:rPr>
        <w:t> </w:t>
      </w:r>
      <w:r>
        <w:rPr/>
        <w:t>and</w:t>
      </w:r>
      <w:r>
        <w:rPr>
          <w:spacing w:val="-5"/>
        </w:rPr>
        <w:t> </w:t>
      </w:r>
      <w:r>
        <w:rPr/>
        <w:t>differences</w:t>
      </w:r>
      <w:r>
        <w:rPr>
          <w:spacing w:val="1"/>
        </w:rPr>
        <w:t> </w:t>
      </w:r>
      <w:r>
        <w:rPr/>
        <w:t>of</w:t>
      </w:r>
      <w:r>
        <w:rPr>
          <w:spacing w:val="-6"/>
        </w:rPr>
        <w:t> </w:t>
      </w:r>
      <w:r>
        <w:rPr/>
        <w:t>these</w:t>
      </w:r>
      <w:r>
        <w:rPr>
          <w:spacing w:val="-3"/>
        </w:rPr>
        <w:t> </w:t>
      </w:r>
      <w:r>
        <w:rPr/>
        <w:t>conditions: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</w:tabs>
        <w:spacing w:line="240" w:lineRule="auto" w:before="0" w:after="0"/>
        <w:ind w:left="870" w:right="108" w:hanging="360"/>
        <w:jc w:val="both"/>
        <w:rPr>
          <w:sz w:val="20"/>
        </w:rPr>
      </w:pPr>
      <w:r>
        <w:rPr>
          <w:sz w:val="20"/>
        </w:rPr>
        <w:t>Gastroesophageal</w:t>
      </w:r>
      <w:r>
        <w:rPr>
          <w:spacing w:val="1"/>
          <w:sz w:val="20"/>
        </w:rPr>
        <w:t> </w:t>
      </w:r>
      <w:r>
        <w:rPr>
          <w:sz w:val="20"/>
        </w:rPr>
        <w:t>reflux</w:t>
      </w:r>
      <w:r>
        <w:rPr>
          <w:spacing w:val="1"/>
          <w:sz w:val="20"/>
        </w:rPr>
        <w:t> </w:t>
      </w:r>
      <w:r>
        <w:rPr>
          <w:sz w:val="20"/>
        </w:rPr>
        <w:t>disease</w:t>
      </w:r>
      <w:r>
        <w:rPr>
          <w:spacing w:val="1"/>
          <w:sz w:val="20"/>
        </w:rPr>
        <w:t> </w:t>
      </w:r>
      <w:r>
        <w:rPr>
          <w:sz w:val="20"/>
        </w:rPr>
        <w:t>–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patients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GERD,</w:t>
      </w:r>
      <w:r>
        <w:rPr>
          <w:spacing w:val="1"/>
          <w:sz w:val="20"/>
        </w:rPr>
        <w:t> </w:t>
      </w:r>
      <w:r>
        <w:rPr>
          <w:sz w:val="20"/>
        </w:rPr>
        <w:t>regurgitated</w:t>
      </w:r>
      <w:r>
        <w:rPr>
          <w:spacing w:val="1"/>
          <w:sz w:val="20"/>
        </w:rPr>
        <w:t> </w:t>
      </w:r>
      <w:r>
        <w:rPr>
          <w:sz w:val="20"/>
        </w:rPr>
        <w:t>food</w:t>
      </w:r>
      <w:r>
        <w:rPr>
          <w:spacing w:val="1"/>
          <w:sz w:val="20"/>
        </w:rPr>
        <w:t> </w:t>
      </w:r>
      <w:r>
        <w:rPr>
          <w:sz w:val="20"/>
        </w:rPr>
        <w:t>is</w:t>
      </w:r>
      <w:r>
        <w:rPr>
          <w:spacing w:val="1"/>
          <w:sz w:val="20"/>
        </w:rPr>
        <w:t> </w:t>
      </w:r>
      <w:r>
        <w:rPr>
          <w:sz w:val="20"/>
        </w:rPr>
        <w:t>typically sour tasting due to the presence of</w:t>
      </w:r>
      <w:r>
        <w:rPr>
          <w:spacing w:val="1"/>
          <w:sz w:val="20"/>
        </w:rPr>
        <w:t> </w:t>
      </w:r>
      <w:r>
        <w:rPr>
          <w:sz w:val="20"/>
        </w:rPr>
        <w:t>gastric</w:t>
      </w:r>
      <w:r>
        <w:rPr>
          <w:spacing w:val="1"/>
          <w:sz w:val="20"/>
        </w:rPr>
        <w:t> </w:t>
      </w:r>
      <w:r>
        <w:rPr>
          <w:sz w:val="20"/>
        </w:rPr>
        <w:t>acid.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contrast,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patients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achalasia, food and saliva are regurgitated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from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the</w:t>
      </w:r>
      <w:r>
        <w:rPr>
          <w:spacing w:val="-9"/>
          <w:sz w:val="20"/>
        </w:rPr>
        <w:t> </w:t>
      </w:r>
      <w:r>
        <w:rPr>
          <w:spacing w:val="-1"/>
          <w:sz w:val="20"/>
        </w:rPr>
        <w:t>esophagus</w:t>
      </w:r>
      <w:r>
        <w:rPr>
          <w:spacing w:val="-9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are</w:t>
      </w:r>
      <w:r>
        <w:rPr>
          <w:spacing w:val="-9"/>
          <w:sz w:val="20"/>
        </w:rPr>
        <w:t> </w:t>
      </w:r>
      <w:r>
        <w:rPr>
          <w:sz w:val="20"/>
        </w:rPr>
        <w:t>therefore</w:t>
      </w:r>
      <w:r>
        <w:rPr>
          <w:spacing w:val="-9"/>
          <w:sz w:val="20"/>
        </w:rPr>
        <w:t> </w:t>
      </w:r>
      <w:r>
        <w:rPr>
          <w:sz w:val="20"/>
        </w:rPr>
        <w:t>bland.</w:t>
      </w:r>
      <w:r>
        <w:rPr>
          <w:spacing w:val="-43"/>
          <w:sz w:val="20"/>
        </w:rPr>
        <w:t> </w:t>
      </w:r>
      <w:r>
        <w:rPr>
          <w:sz w:val="20"/>
        </w:rPr>
        <w:t>Esophageal</w:t>
      </w:r>
      <w:r>
        <w:rPr>
          <w:spacing w:val="1"/>
          <w:sz w:val="20"/>
        </w:rPr>
        <w:t> </w:t>
      </w:r>
      <w:r>
        <w:rPr>
          <w:sz w:val="20"/>
        </w:rPr>
        <w:t>manometry</w:t>
      </w:r>
      <w:r>
        <w:rPr>
          <w:spacing w:val="1"/>
          <w:sz w:val="20"/>
        </w:rPr>
        <w:t> </w:t>
      </w:r>
      <w:r>
        <w:rPr>
          <w:sz w:val="20"/>
        </w:rPr>
        <w:t>is</w:t>
      </w:r>
      <w:r>
        <w:rPr>
          <w:spacing w:val="1"/>
          <w:sz w:val="20"/>
        </w:rPr>
        <w:t> </w:t>
      </w:r>
      <w:r>
        <w:rPr>
          <w:sz w:val="20"/>
        </w:rPr>
        <w:t>diagnostic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achalasia.</w:t>
      </w:r>
      <w:r>
        <w:rPr>
          <w:spacing w:val="1"/>
          <w:sz w:val="20"/>
        </w:rPr>
        <w:t> </w:t>
      </w:r>
      <w:r>
        <w:rPr>
          <w:sz w:val="20"/>
        </w:rPr>
        <w:t>Unlike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incomplete</w:t>
      </w:r>
      <w:r>
        <w:rPr>
          <w:spacing w:val="1"/>
          <w:sz w:val="20"/>
        </w:rPr>
        <w:t> </w:t>
      </w:r>
      <w:r>
        <w:rPr>
          <w:sz w:val="20"/>
        </w:rPr>
        <w:t>LES</w:t>
      </w:r>
      <w:r>
        <w:rPr>
          <w:spacing w:val="1"/>
          <w:sz w:val="20"/>
        </w:rPr>
        <w:t> </w:t>
      </w:r>
      <w:r>
        <w:rPr>
          <w:sz w:val="20"/>
        </w:rPr>
        <w:t>relaxation and aperistalsis that characterize</w:t>
      </w:r>
      <w:r>
        <w:rPr>
          <w:spacing w:val="1"/>
          <w:sz w:val="20"/>
        </w:rPr>
        <w:t> </w:t>
      </w:r>
      <w:r>
        <w:rPr>
          <w:sz w:val="20"/>
        </w:rPr>
        <w:t>achalasia,</w:t>
      </w:r>
      <w:r>
        <w:rPr>
          <w:spacing w:val="1"/>
          <w:sz w:val="20"/>
        </w:rPr>
        <w:t> </w:t>
      </w:r>
      <w:r>
        <w:rPr>
          <w:sz w:val="20"/>
        </w:rPr>
        <w:t>patients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GERD</w:t>
      </w:r>
      <w:r>
        <w:rPr>
          <w:spacing w:val="1"/>
          <w:sz w:val="20"/>
        </w:rPr>
        <w:t> </w:t>
      </w:r>
      <w:r>
        <w:rPr>
          <w:sz w:val="20"/>
        </w:rPr>
        <w:t>often</w:t>
      </w:r>
      <w:r>
        <w:rPr>
          <w:spacing w:val="1"/>
          <w:sz w:val="20"/>
        </w:rPr>
        <w:t> </w:t>
      </w:r>
      <w:r>
        <w:rPr>
          <w:sz w:val="20"/>
        </w:rPr>
        <w:t>have</w:t>
      </w:r>
      <w:r>
        <w:rPr>
          <w:spacing w:val="1"/>
          <w:sz w:val="20"/>
        </w:rPr>
        <w:t> </w:t>
      </w:r>
      <w:r>
        <w:rPr>
          <w:sz w:val="20"/>
        </w:rPr>
        <w:t>nonspecific</w:t>
      </w:r>
      <w:r>
        <w:rPr>
          <w:spacing w:val="1"/>
          <w:sz w:val="20"/>
        </w:rPr>
        <w:t> </w:t>
      </w:r>
      <w:r>
        <w:rPr>
          <w:sz w:val="20"/>
        </w:rPr>
        <w:t>manometric</w:t>
      </w:r>
      <w:r>
        <w:rPr>
          <w:spacing w:val="1"/>
          <w:sz w:val="20"/>
        </w:rPr>
        <w:t> </w:t>
      </w:r>
      <w:r>
        <w:rPr>
          <w:sz w:val="20"/>
        </w:rPr>
        <w:t>findings</w:t>
      </w:r>
      <w:r>
        <w:rPr>
          <w:spacing w:val="1"/>
          <w:sz w:val="20"/>
        </w:rPr>
        <w:t> </w:t>
      </w:r>
      <w:r>
        <w:rPr>
          <w:sz w:val="20"/>
        </w:rPr>
        <w:t>including</w:t>
      </w:r>
      <w:r>
        <w:rPr>
          <w:spacing w:val="1"/>
          <w:sz w:val="20"/>
        </w:rPr>
        <w:t> </w:t>
      </w:r>
      <w:r>
        <w:rPr>
          <w:sz w:val="20"/>
        </w:rPr>
        <w:t>ineffective</w:t>
      </w:r>
      <w:r>
        <w:rPr>
          <w:spacing w:val="1"/>
          <w:sz w:val="20"/>
        </w:rPr>
        <w:t> </w:t>
      </w:r>
      <w:r>
        <w:rPr>
          <w:sz w:val="20"/>
        </w:rPr>
        <w:t>esophageal</w:t>
      </w:r>
      <w:r>
        <w:rPr>
          <w:spacing w:val="1"/>
          <w:sz w:val="20"/>
        </w:rPr>
        <w:t> </w:t>
      </w:r>
      <w:r>
        <w:rPr>
          <w:sz w:val="20"/>
        </w:rPr>
        <w:t>motility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hypotensive</w:t>
      </w:r>
      <w:r>
        <w:rPr>
          <w:spacing w:val="-1"/>
          <w:sz w:val="20"/>
        </w:rPr>
        <w:t> </w:t>
      </w:r>
      <w:r>
        <w:rPr>
          <w:sz w:val="20"/>
        </w:rPr>
        <w:t>LES.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</w:tabs>
        <w:spacing w:line="240" w:lineRule="auto" w:before="0" w:after="0"/>
        <w:ind w:left="870" w:right="108" w:hanging="360"/>
        <w:jc w:val="both"/>
        <w:rPr>
          <w:sz w:val="20"/>
        </w:rPr>
      </w:pPr>
      <w:r>
        <w:rPr>
          <w:sz w:val="20"/>
        </w:rPr>
        <w:t>Pseudoachalasia</w:t>
      </w:r>
      <w:r>
        <w:rPr>
          <w:spacing w:val="1"/>
          <w:sz w:val="20"/>
        </w:rPr>
        <w:t> </w:t>
      </w:r>
      <w:r>
        <w:rPr>
          <w:sz w:val="20"/>
        </w:rPr>
        <w:t>–</w:t>
      </w:r>
      <w:r>
        <w:rPr>
          <w:spacing w:val="1"/>
          <w:sz w:val="20"/>
        </w:rPr>
        <w:t> </w:t>
      </w:r>
      <w:r>
        <w:rPr>
          <w:sz w:val="20"/>
        </w:rPr>
        <w:t>Malignancy</w:t>
      </w:r>
      <w:r>
        <w:rPr>
          <w:spacing w:val="1"/>
          <w:sz w:val="20"/>
        </w:rPr>
        <w:t> </w:t>
      </w:r>
      <w:r>
        <w:rPr>
          <w:sz w:val="20"/>
        </w:rPr>
        <w:t>can</w:t>
      </w:r>
      <w:r>
        <w:rPr>
          <w:spacing w:val="1"/>
          <w:sz w:val="20"/>
        </w:rPr>
        <w:t> </w:t>
      </w:r>
      <w:r>
        <w:rPr>
          <w:sz w:val="20"/>
        </w:rPr>
        <w:t>cause</w:t>
      </w:r>
      <w:r>
        <w:rPr>
          <w:spacing w:val="1"/>
          <w:sz w:val="20"/>
        </w:rPr>
        <w:t> </w:t>
      </w:r>
      <w:r>
        <w:rPr>
          <w:sz w:val="20"/>
        </w:rPr>
        <w:t>pseudoachalasia</w:t>
      </w:r>
      <w:r>
        <w:rPr>
          <w:spacing w:val="1"/>
          <w:sz w:val="20"/>
        </w:rPr>
        <w:t> </w:t>
      </w:r>
      <w:r>
        <w:rPr>
          <w:sz w:val="20"/>
        </w:rPr>
        <w:t>either</w:t>
      </w:r>
      <w:r>
        <w:rPr>
          <w:spacing w:val="1"/>
          <w:sz w:val="20"/>
        </w:rPr>
        <w:t> </w:t>
      </w:r>
      <w:r>
        <w:rPr>
          <w:sz w:val="20"/>
        </w:rPr>
        <w:t>by</w:t>
      </w:r>
      <w:r>
        <w:rPr>
          <w:spacing w:val="1"/>
          <w:sz w:val="20"/>
        </w:rPr>
        <w:t> </w:t>
      </w:r>
      <w:r>
        <w:rPr>
          <w:sz w:val="20"/>
        </w:rPr>
        <w:t>invading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esophageal</w:t>
      </w:r>
      <w:r>
        <w:rPr>
          <w:spacing w:val="1"/>
          <w:sz w:val="20"/>
        </w:rPr>
        <w:t> </w:t>
      </w:r>
      <w:r>
        <w:rPr>
          <w:sz w:val="20"/>
        </w:rPr>
        <w:t>neural</w:t>
      </w:r>
      <w:r>
        <w:rPr>
          <w:spacing w:val="1"/>
          <w:sz w:val="20"/>
        </w:rPr>
        <w:t> </w:t>
      </w:r>
      <w:r>
        <w:rPr>
          <w:sz w:val="20"/>
        </w:rPr>
        <w:t>plexuses</w:t>
      </w:r>
      <w:r>
        <w:rPr>
          <w:spacing w:val="1"/>
          <w:sz w:val="20"/>
        </w:rPr>
        <w:t> </w:t>
      </w:r>
      <w:r>
        <w:rPr>
          <w:sz w:val="20"/>
        </w:rPr>
        <w:t>directly</w:t>
      </w:r>
      <w:r>
        <w:rPr>
          <w:spacing w:val="1"/>
          <w:sz w:val="20"/>
        </w:rPr>
        <w:t> </w:t>
      </w:r>
      <w:r>
        <w:rPr>
          <w:sz w:val="20"/>
        </w:rPr>
        <w:t>(eg,</w:t>
      </w:r>
      <w:r>
        <w:rPr>
          <w:spacing w:val="1"/>
          <w:sz w:val="20"/>
        </w:rPr>
        <w:t> </w:t>
      </w:r>
      <w:r>
        <w:rPr>
          <w:sz w:val="20"/>
        </w:rPr>
        <w:t>adenocarcinoma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esophagogastric</w:t>
      </w:r>
      <w:r>
        <w:rPr>
          <w:spacing w:val="1"/>
          <w:sz w:val="20"/>
        </w:rPr>
        <w:t> </w:t>
      </w:r>
      <w:r>
        <w:rPr>
          <w:sz w:val="20"/>
        </w:rPr>
        <w:t>junction)</w:t>
      </w:r>
      <w:r>
        <w:rPr>
          <w:spacing w:val="1"/>
          <w:sz w:val="20"/>
        </w:rPr>
        <w:t> </w:t>
      </w:r>
      <w:r>
        <w:rPr>
          <w:sz w:val="20"/>
        </w:rPr>
        <w:t>or</w:t>
      </w:r>
      <w:r>
        <w:rPr>
          <w:spacing w:val="1"/>
          <w:sz w:val="20"/>
        </w:rPr>
        <w:t> </w:t>
      </w:r>
      <w:r>
        <w:rPr>
          <w:sz w:val="20"/>
        </w:rPr>
        <w:t>through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release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uncharacterized humoral factors that disrupt</w:t>
      </w:r>
      <w:r>
        <w:rPr>
          <w:spacing w:val="-43"/>
          <w:sz w:val="20"/>
        </w:rPr>
        <w:t> </w:t>
      </w:r>
      <w:r>
        <w:rPr>
          <w:sz w:val="20"/>
        </w:rPr>
        <w:t>esophageal</w:t>
      </w:r>
      <w:r>
        <w:rPr>
          <w:spacing w:val="1"/>
          <w:sz w:val="20"/>
        </w:rPr>
        <w:t> </w:t>
      </w:r>
      <w:r>
        <w:rPr>
          <w:sz w:val="20"/>
        </w:rPr>
        <w:t>function</w:t>
      </w:r>
      <w:r>
        <w:rPr>
          <w:spacing w:val="1"/>
          <w:sz w:val="20"/>
        </w:rPr>
        <w:t> </w:t>
      </w:r>
      <w:r>
        <w:rPr>
          <w:sz w:val="20"/>
        </w:rPr>
        <w:t>as</w:t>
      </w:r>
      <w:r>
        <w:rPr>
          <w:spacing w:val="1"/>
          <w:sz w:val="20"/>
        </w:rPr>
        <w:t> </w:t>
      </w:r>
      <w:r>
        <w:rPr>
          <w:sz w:val="20"/>
        </w:rPr>
        <w:t>part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paraneoplastic</w:t>
      </w:r>
      <w:r>
        <w:rPr>
          <w:spacing w:val="1"/>
          <w:sz w:val="20"/>
        </w:rPr>
        <w:t> </w:t>
      </w:r>
      <w:r>
        <w:rPr>
          <w:sz w:val="20"/>
        </w:rPr>
        <w:t>syndrome.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addition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gastric</w:t>
      </w:r>
      <w:r>
        <w:rPr>
          <w:spacing w:val="1"/>
          <w:sz w:val="20"/>
        </w:rPr>
        <w:t> </w:t>
      </w:r>
      <w:r>
        <w:rPr>
          <w:sz w:val="20"/>
        </w:rPr>
        <w:t>carcinoma,</w:t>
      </w:r>
      <w:r>
        <w:rPr>
          <w:spacing w:val="1"/>
          <w:sz w:val="20"/>
        </w:rPr>
        <w:t> </w:t>
      </w:r>
      <w:r>
        <w:rPr>
          <w:sz w:val="20"/>
        </w:rPr>
        <w:t>other</w:t>
      </w:r>
      <w:r>
        <w:rPr>
          <w:spacing w:val="1"/>
          <w:sz w:val="20"/>
        </w:rPr>
        <w:t> </w:t>
      </w:r>
      <w:r>
        <w:rPr>
          <w:sz w:val="20"/>
        </w:rPr>
        <w:t>tumors</w:t>
      </w:r>
      <w:r>
        <w:rPr>
          <w:spacing w:val="1"/>
          <w:sz w:val="20"/>
        </w:rPr>
        <w:t> </w:t>
      </w:r>
      <w:r>
        <w:rPr>
          <w:sz w:val="20"/>
        </w:rPr>
        <w:t>that</w:t>
      </w:r>
      <w:r>
        <w:rPr>
          <w:spacing w:val="1"/>
          <w:sz w:val="20"/>
        </w:rPr>
        <w:t> </w:t>
      </w:r>
      <w:r>
        <w:rPr>
          <w:sz w:val="20"/>
        </w:rPr>
        <w:t>can</w:t>
      </w:r>
      <w:r>
        <w:rPr>
          <w:spacing w:val="1"/>
          <w:sz w:val="20"/>
        </w:rPr>
        <w:t> </w:t>
      </w:r>
      <w:r>
        <w:rPr>
          <w:sz w:val="20"/>
        </w:rPr>
        <w:t>produce the syndrome include cancer of the</w:t>
      </w:r>
      <w:r>
        <w:rPr>
          <w:spacing w:val="-43"/>
          <w:sz w:val="20"/>
        </w:rPr>
        <w:t> </w:t>
      </w:r>
      <w:r>
        <w:rPr>
          <w:sz w:val="20"/>
        </w:rPr>
        <w:t>esophagus,</w:t>
      </w:r>
      <w:r>
        <w:rPr>
          <w:spacing w:val="1"/>
          <w:sz w:val="20"/>
        </w:rPr>
        <w:t> </w:t>
      </w:r>
      <w:r>
        <w:rPr>
          <w:sz w:val="20"/>
        </w:rPr>
        <w:t>carcinoma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lung,</w:t>
      </w:r>
      <w:r>
        <w:rPr>
          <w:spacing w:val="1"/>
          <w:sz w:val="20"/>
        </w:rPr>
        <w:t> </w:t>
      </w:r>
      <w:r>
        <w:rPr>
          <w:sz w:val="20"/>
        </w:rPr>
        <w:t>lymphoma,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pancreatic</w:t>
      </w:r>
      <w:r>
        <w:rPr>
          <w:spacing w:val="1"/>
          <w:sz w:val="20"/>
        </w:rPr>
        <w:t> </w:t>
      </w:r>
      <w:r>
        <w:rPr>
          <w:sz w:val="20"/>
        </w:rPr>
        <w:t>carcinoma.</w:t>
      </w:r>
      <w:r>
        <w:rPr>
          <w:spacing w:val="1"/>
          <w:sz w:val="20"/>
        </w:rPr>
        <w:t> </w:t>
      </w:r>
      <w:r>
        <w:rPr>
          <w:sz w:val="20"/>
        </w:rPr>
        <w:t>Patients with pseudoachalasia can have the</w:t>
      </w:r>
      <w:r>
        <w:rPr>
          <w:spacing w:val="1"/>
          <w:sz w:val="20"/>
        </w:rPr>
        <w:t> </w:t>
      </w:r>
      <w:r>
        <w:rPr>
          <w:sz w:val="20"/>
        </w:rPr>
        <w:t>same</w:t>
      </w:r>
      <w:r>
        <w:rPr>
          <w:spacing w:val="1"/>
          <w:sz w:val="20"/>
        </w:rPr>
        <w:t> </w:t>
      </w:r>
      <w:r>
        <w:rPr>
          <w:sz w:val="20"/>
        </w:rPr>
        <w:t>manometric</w:t>
      </w:r>
      <w:r>
        <w:rPr>
          <w:spacing w:val="1"/>
          <w:sz w:val="20"/>
        </w:rPr>
        <w:t> </w:t>
      </w:r>
      <w:r>
        <w:rPr>
          <w:sz w:val="20"/>
        </w:rPr>
        <w:t>findings</w:t>
      </w:r>
      <w:r>
        <w:rPr>
          <w:spacing w:val="1"/>
          <w:sz w:val="20"/>
        </w:rPr>
        <w:t> </w:t>
      </w:r>
      <w:r>
        <w:rPr>
          <w:sz w:val="20"/>
        </w:rPr>
        <w:t>as</w:t>
      </w:r>
      <w:r>
        <w:rPr>
          <w:spacing w:val="1"/>
          <w:sz w:val="20"/>
        </w:rPr>
        <w:t> </w:t>
      </w:r>
      <w:r>
        <w:rPr>
          <w:sz w:val="20"/>
        </w:rPr>
        <w:t>those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achalasia but can be differentiated by upper</w:t>
      </w:r>
      <w:r>
        <w:rPr>
          <w:spacing w:val="-43"/>
          <w:sz w:val="20"/>
        </w:rPr>
        <w:t> </w:t>
      </w:r>
      <w:r>
        <w:rPr>
          <w:spacing w:val="-1"/>
          <w:sz w:val="20"/>
        </w:rPr>
        <w:t>endoscopy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and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endoscopic</w:t>
      </w:r>
      <w:r>
        <w:rPr>
          <w:spacing w:val="-8"/>
          <w:sz w:val="20"/>
        </w:rPr>
        <w:t> </w:t>
      </w:r>
      <w:r>
        <w:rPr>
          <w:sz w:val="20"/>
        </w:rPr>
        <w:t>ultrasound</w:t>
      </w:r>
      <w:r>
        <w:rPr>
          <w:spacing w:val="-10"/>
          <w:sz w:val="20"/>
        </w:rPr>
        <w:t> </w:t>
      </w:r>
      <w:r>
        <w:rPr>
          <w:sz w:val="20"/>
        </w:rPr>
        <w:t>(EUS).</w:t>
      </w:r>
    </w:p>
    <w:p>
      <w:pPr>
        <w:spacing w:after="0" w:line="240" w:lineRule="auto"/>
        <w:jc w:val="both"/>
        <w:rPr>
          <w:sz w:val="20"/>
        </w:rPr>
        <w:sectPr>
          <w:type w:val="continuous"/>
          <w:pgSz w:w="12240" w:h="15840"/>
          <w:pgMar w:top="1220" w:bottom="960" w:left="1300" w:right="1320"/>
          <w:cols w:num="2" w:equalWidth="0">
            <w:col w:w="4493" w:space="534"/>
            <w:col w:w="4593"/>
          </w:cols>
        </w:sectPr>
      </w:pP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35" w:after="0"/>
        <w:ind w:left="861" w:right="38" w:hanging="360"/>
        <w:jc w:val="both"/>
        <w:rPr>
          <w:sz w:val="20"/>
        </w:rPr>
      </w:pPr>
      <w:r>
        <w:rPr>
          <w:sz w:val="20"/>
        </w:rPr>
        <w:t>Other</w:t>
      </w:r>
      <w:r>
        <w:rPr>
          <w:spacing w:val="1"/>
          <w:sz w:val="20"/>
        </w:rPr>
        <w:t> </w:t>
      </w:r>
      <w:r>
        <w:rPr>
          <w:sz w:val="20"/>
        </w:rPr>
        <w:t>esophageal</w:t>
      </w:r>
      <w:r>
        <w:rPr>
          <w:spacing w:val="1"/>
          <w:sz w:val="20"/>
        </w:rPr>
        <w:t> </w:t>
      </w:r>
      <w:r>
        <w:rPr>
          <w:sz w:val="20"/>
        </w:rPr>
        <w:t>motility</w:t>
      </w:r>
      <w:r>
        <w:rPr>
          <w:spacing w:val="1"/>
          <w:sz w:val="20"/>
        </w:rPr>
        <w:t> </w:t>
      </w:r>
      <w:r>
        <w:rPr>
          <w:sz w:val="20"/>
        </w:rPr>
        <w:t>disorders</w:t>
      </w:r>
      <w:r>
        <w:rPr>
          <w:spacing w:val="1"/>
          <w:sz w:val="20"/>
        </w:rPr>
        <w:t> </w:t>
      </w:r>
      <w:r>
        <w:rPr>
          <w:sz w:val="20"/>
        </w:rPr>
        <w:t>–</w:t>
      </w:r>
      <w:r>
        <w:rPr>
          <w:spacing w:val="1"/>
          <w:sz w:val="20"/>
        </w:rPr>
        <w:t> </w:t>
      </w:r>
      <w:r>
        <w:rPr>
          <w:sz w:val="20"/>
        </w:rPr>
        <w:t>Patients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diffuse</w:t>
      </w:r>
      <w:r>
        <w:rPr>
          <w:spacing w:val="1"/>
          <w:sz w:val="20"/>
        </w:rPr>
        <w:t> </w:t>
      </w:r>
      <w:r>
        <w:rPr>
          <w:sz w:val="20"/>
        </w:rPr>
        <w:t>(distal)</w:t>
      </w:r>
      <w:r>
        <w:rPr>
          <w:spacing w:val="1"/>
          <w:sz w:val="20"/>
        </w:rPr>
        <w:t> </w:t>
      </w:r>
      <w:r>
        <w:rPr>
          <w:sz w:val="20"/>
        </w:rPr>
        <w:t>esophageal</w:t>
      </w:r>
      <w:r>
        <w:rPr>
          <w:spacing w:val="1"/>
          <w:sz w:val="20"/>
        </w:rPr>
        <w:t> </w:t>
      </w:r>
      <w:r>
        <w:rPr>
          <w:sz w:val="20"/>
        </w:rPr>
        <w:t>spasm and jackhammer esophagus may also</w:t>
      </w:r>
      <w:r>
        <w:rPr>
          <w:spacing w:val="-43"/>
          <w:sz w:val="20"/>
        </w:rPr>
        <w:t> </w:t>
      </w:r>
      <w:r>
        <w:rPr>
          <w:sz w:val="20"/>
        </w:rPr>
        <w:t>present with dysphagia to solids and liquids.</w:t>
      </w:r>
      <w:r>
        <w:rPr>
          <w:spacing w:val="-43"/>
          <w:sz w:val="20"/>
        </w:rPr>
        <w:t> </w:t>
      </w:r>
      <w:r>
        <w:rPr>
          <w:sz w:val="20"/>
        </w:rPr>
        <w:t>Esophageal</w:t>
      </w:r>
      <w:r>
        <w:rPr>
          <w:spacing w:val="1"/>
          <w:sz w:val="20"/>
        </w:rPr>
        <w:t> </w:t>
      </w:r>
      <w:r>
        <w:rPr>
          <w:sz w:val="20"/>
        </w:rPr>
        <w:t>manometry</w:t>
      </w:r>
      <w:r>
        <w:rPr>
          <w:spacing w:val="1"/>
          <w:sz w:val="20"/>
        </w:rPr>
        <w:t> </w:t>
      </w:r>
      <w:r>
        <w:rPr>
          <w:sz w:val="20"/>
        </w:rPr>
        <w:t>testing</w:t>
      </w:r>
      <w:r>
        <w:rPr>
          <w:spacing w:val="1"/>
          <w:sz w:val="20"/>
        </w:rPr>
        <w:t> </w:t>
      </w:r>
      <w:r>
        <w:rPr>
          <w:sz w:val="20"/>
        </w:rPr>
        <w:t>can</w:t>
      </w:r>
      <w:r>
        <w:rPr>
          <w:spacing w:val="1"/>
          <w:sz w:val="20"/>
        </w:rPr>
        <w:t> </w:t>
      </w:r>
      <w:r>
        <w:rPr>
          <w:sz w:val="20"/>
        </w:rPr>
        <w:t>distinguish achalasia from these esophageal</w:t>
      </w:r>
      <w:r>
        <w:rPr>
          <w:spacing w:val="-43"/>
          <w:sz w:val="20"/>
        </w:rPr>
        <w:t> </w:t>
      </w:r>
      <w:r>
        <w:rPr>
          <w:sz w:val="20"/>
        </w:rPr>
        <w:t>motility</w:t>
      </w:r>
      <w:r>
        <w:rPr>
          <w:spacing w:val="1"/>
          <w:sz w:val="20"/>
        </w:rPr>
        <w:t> </w:t>
      </w:r>
      <w:r>
        <w:rPr>
          <w:sz w:val="20"/>
        </w:rPr>
        <w:t>disorders</w:t>
      </w:r>
      <w:r>
        <w:rPr>
          <w:spacing w:val="1"/>
          <w:sz w:val="20"/>
        </w:rPr>
        <w:t> </w:t>
      </w:r>
      <w:r>
        <w:rPr>
          <w:sz w:val="20"/>
        </w:rPr>
        <w:t>as</w:t>
      </w:r>
      <w:r>
        <w:rPr>
          <w:spacing w:val="1"/>
          <w:sz w:val="20"/>
        </w:rPr>
        <w:t> </w:t>
      </w:r>
      <w:r>
        <w:rPr>
          <w:sz w:val="20"/>
        </w:rPr>
        <w:t>LES</w:t>
      </w:r>
      <w:r>
        <w:rPr>
          <w:spacing w:val="1"/>
          <w:sz w:val="20"/>
        </w:rPr>
        <w:t> </w:t>
      </w:r>
      <w:r>
        <w:rPr>
          <w:sz w:val="20"/>
        </w:rPr>
        <w:t>relaxation</w:t>
      </w:r>
      <w:r>
        <w:rPr>
          <w:spacing w:val="1"/>
          <w:sz w:val="20"/>
        </w:rPr>
        <w:t> </w:t>
      </w:r>
      <w:r>
        <w:rPr>
          <w:sz w:val="20"/>
        </w:rPr>
        <w:t>(integrated</w:t>
      </w:r>
      <w:r>
        <w:rPr>
          <w:spacing w:val="1"/>
          <w:sz w:val="20"/>
        </w:rPr>
        <w:t> </w:t>
      </w:r>
      <w:r>
        <w:rPr>
          <w:sz w:val="20"/>
        </w:rPr>
        <w:t>relaxation</w:t>
      </w:r>
      <w:r>
        <w:rPr>
          <w:spacing w:val="1"/>
          <w:sz w:val="20"/>
        </w:rPr>
        <w:t> </w:t>
      </w:r>
      <w:r>
        <w:rPr>
          <w:sz w:val="20"/>
        </w:rPr>
        <w:t>pressure</w:t>
      </w:r>
      <w:r>
        <w:rPr>
          <w:spacing w:val="1"/>
          <w:sz w:val="20"/>
        </w:rPr>
        <w:t> </w:t>
      </w:r>
      <w:r>
        <w:rPr>
          <w:sz w:val="20"/>
        </w:rPr>
        <w:t>[IRP])</w:t>
      </w:r>
      <w:r>
        <w:rPr>
          <w:spacing w:val="1"/>
          <w:sz w:val="20"/>
        </w:rPr>
        <w:t> </w:t>
      </w:r>
      <w:r>
        <w:rPr>
          <w:sz w:val="20"/>
        </w:rPr>
        <w:t>is</w:t>
      </w:r>
      <w:r>
        <w:rPr>
          <w:spacing w:val="1"/>
          <w:sz w:val="20"/>
        </w:rPr>
        <w:t> </w:t>
      </w:r>
      <w:r>
        <w:rPr>
          <w:sz w:val="20"/>
        </w:rPr>
        <w:t>normal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these conditions.</w:t>
      </w:r>
    </w:p>
    <w:p>
      <w:pPr>
        <w:pStyle w:val="BodyText"/>
        <w:spacing w:before="4"/>
        <w:ind w:left="0"/>
      </w:pPr>
    </w:p>
    <w:p>
      <w:pPr>
        <w:pStyle w:val="Heading1"/>
      </w:pPr>
      <w:r>
        <w:rPr/>
        <w:t>Discussion</w:t>
      </w:r>
    </w:p>
    <w:p>
      <w:pPr>
        <w:pStyle w:val="BodyText"/>
        <w:spacing w:before="1"/>
        <w:ind w:right="41" w:firstLine="720"/>
        <w:jc w:val="both"/>
      </w:pPr>
      <w:r>
        <w:rPr/>
        <w:t>Achalasia is a primary esophageal motility</w:t>
      </w:r>
      <w:r>
        <w:rPr>
          <w:spacing w:val="1"/>
        </w:rPr>
        <w:t> </w:t>
      </w:r>
      <w:r>
        <w:rPr/>
        <w:t>disorder characterized by the absence of esophageal</w:t>
      </w:r>
      <w:r>
        <w:rPr>
          <w:spacing w:val="1"/>
        </w:rPr>
        <w:t> </w:t>
      </w:r>
      <w:r>
        <w:rPr/>
        <w:t>peristalsis and impaired LES relaxation in response to</w:t>
      </w:r>
      <w:r>
        <w:rPr>
          <w:spacing w:val="-43"/>
        </w:rPr>
        <w:t> </w:t>
      </w:r>
      <w:r>
        <w:rPr/>
        <w:t>swallowing. The LES is hypertensive in about 50% of</w:t>
      </w:r>
      <w:r>
        <w:rPr>
          <w:spacing w:val="1"/>
        </w:rPr>
        <w:t> </w:t>
      </w:r>
      <w:r>
        <w:rPr/>
        <w:t>patients.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abnormalities</w:t>
      </w:r>
      <w:r>
        <w:rPr>
          <w:spacing w:val="1"/>
        </w:rPr>
        <w:t> </w:t>
      </w:r>
      <w:r>
        <w:rPr/>
        <w:t>cause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functional</w:t>
      </w:r>
      <w:r>
        <w:rPr>
          <w:spacing w:val="1"/>
        </w:rPr>
        <w:t> </w:t>
      </w:r>
      <w:r>
        <w:rPr/>
        <w:t>obstruction</w:t>
      </w:r>
      <w:r>
        <w:rPr>
          <w:spacing w:val="-4"/>
        </w:rPr>
        <w:t> </w:t>
      </w:r>
      <w:r>
        <w:rPr/>
        <w:t>at the</w:t>
      </w:r>
      <w:r>
        <w:rPr>
          <w:spacing w:val="-3"/>
        </w:rPr>
        <w:t> </w:t>
      </w:r>
      <w:r>
        <w:rPr/>
        <w:t>gastroesophageal</w:t>
      </w:r>
      <w:r>
        <w:rPr>
          <w:spacing w:val="-4"/>
        </w:rPr>
        <w:t> </w:t>
      </w:r>
      <w:r>
        <w:rPr/>
        <w:t>junction.</w:t>
      </w:r>
      <w:r>
        <w:rPr>
          <w:vertAlign w:val="superscript"/>
        </w:rPr>
        <w:t>5</w:t>
      </w:r>
    </w:p>
    <w:p>
      <w:pPr>
        <w:pStyle w:val="BodyText"/>
        <w:spacing w:before="1"/>
        <w:ind w:right="39" w:firstLine="720"/>
        <w:jc w:val="both"/>
      </w:pP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incidence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achalasia</w:t>
      </w:r>
      <w:r>
        <w:rPr>
          <w:spacing w:val="-10"/>
        </w:rPr>
        <w:t> </w:t>
      </w:r>
      <w:r>
        <w:rPr/>
        <w:t>is</w:t>
      </w:r>
      <w:r>
        <w:rPr>
          <w:spacing w:val="-8"/>
        </w:rPr>
        <w:t> </w:t>
      </w:r>
      <w:r>
        <w:rPr/>
        <w:t>approximately</w:t>
      </w:r>
      <w:r>
        <w:rPr>
          <w:spacing w:val="-11"/>
        </w:rPr>
        <w:t> </w:t>
      </w:r>
      <w:r>
        <w:rPr/>
        <w:t>1</w:t>
      </w:r>
      <w:r>
        <w:rPr>
          <w:spacing w:val="-43"/>
        </w:rPr>
        <w:t> </w:t>
      </w:r>
      <w:r>
        <w:rPr/>
        <w:t>per</w:t>
      </w:r>
      <w:r>
        <w:rPr>
          <w:spacing w:val="1"/>
        </w:rPr>
        <w:t> </w:t>
      </w:r>
      <w:r>
        <w:rPr/>
        <w:t>100,000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per</w:t>
      </w:r>
      <w:r>
        <w:rPr>
          <w:spacing w:val="1"/>
        </w:rPr>
        <w:t> </w:t>
      </w:r>
      <w:r>
        <w:rPr/>
        <w:t>year.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children,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retrospective</w:t>
      </w:r>
      <w:r>
        <w:rPr>
          <w:spacing w:val="-6"/>
        </w:rPr>
        <w:t> </w:t>
      </w:r>
      <w:r>
        <w:rPr/>
        <w:t>study</w:t>
      </w:r>
      <w:r>
        <w:rPr>
          <w:spacing w:val="-6"/>
        </w:rPr>
        <w:t> </w:t>
      </w:r>
      <w:r>
        <w:rPr/>
        <w:t>done</w:t>
      </w:r>
      <w:r>
        <w:rPr>
          <w:spacing w:val="-7"/>
        </w:rPr>
        <w:t> </w:t>
      </w:r>
      <w:r>
        <w:rPr/>
        <w:t>from</w:t>
      </w:r>
      <w:r>
        <w:rPr>
          <w:spacing w:val="-5"/>
        </w:rPr>
        <w:t> </w:t>
      </w:r>
      <w:r>
        <w:rPr/>
        <w:t>1990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2013</w:t>
      </w:r>
      <w:r>
        <w:rPr>
          <w:spacing w:val="-7"/>
        </w:rPr>
        <w:t> </w:t>
      </w:r>
      <w:r>
        <w:rPr/>
        <w:t>from</w:t>
      </w:r>
      <w:r>
        <w:rPr>
          <w:spacing w:val="-6"/>
        </w:rPr>
        <w:t> </w:t>
      </w:r>
      <w:r>
        <w:rPr/>
        <w:t>the</w:t>
      </w:r>
      <w:r>
        <w:rPr>
          <w:spacing w:val="-43"/>
        </w:rPr>
        <w:t> </w:t>
      </w:r>
      <w:r>
        <w:rPr/>
        <w:t>Netherlands</w:t>
      </w:r>
      <w:r>
        <w:rPr>
          <w:spacing w:val="1"/>
        </w:rPr>
        <w:t> </w:t>
      </w:r>
      <w:r>
        <w:rPr/>
        <w:t>showed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mean</w:t>
      </w:r>
      <w:r>
        <w:rPr>
          <w:spacing w:val="1"/>
        </w:rPr>
        <w:t> </w:t>
      </w:r>
      <w:r>
        <w:rPr/>
        <w:t>incidence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achalasia</w:t>
      </w:r>
      <w:r>
        <w:rPr>
          <w:spacing w:val="-11"/>
        </w:rPr>
        <w:t> </w:t>
      </w:r>
      <w:r>
        <w:rPr/>
        <w:t>was</w:t>
      </w:r>
      <w:r>
        <w:rPr>
          <w:spacing w:val="-8"/>
        </w:rPr>
        <w:t> </w:t>
      </w:r>
      <w:r>
        <w:rPr/>
        <w:t>0.1</w:t>
      </w:r>
      <w:r>
        <w:rPr>
          <w:spacing w:val="-11"/>
        </w:rPr>
        <w:t> </w:t>
      </w:r>
      <w:r>
        <w:rPr/>
        <w:t>per</w:t>
      </w:r>
      <w:r>
        <w:rPr>
          <w:spacing w:val="-9"/>
        </w:rPr>
        <w:t> </w:t>
      </w:r>
      <w:r>
        <w:rPr/>
        <w:t>100,000</w:t>
      </w:r>
      <w:r>
        <w:rPr>
          <w:spacing w:val="-11"/>
        </w:rPr>
        <w:t> </w:t>
      </w:r>
      <w:r>
        <w:rPr/>
        <w:t>people</w:t>
      </w:r>
      <w:r>
        <w:rPr>
          <w:spacing w:val="-9"/>
        </w:rPr>
        <w:t> </w:t>
      </w:r>
      <w:r>
        <w:rPr/>
        <w:t>per</w:t>
      </w:r>
      <w:r>
        <w:rPr>
          <w:spacing w:val="-9"/>
        </w:rPr>
        <w:t> </w:t>
      </w:r>
      <w:r>
        <w:rPr/>
        <w:t>year.</w:t>
      </w:r>
      <w:r>
        <w:rPr>
          <w:vertAlign w:val="superscript"/>
        </w:rPr>
        <w:t>6</w:t>
      </w:r>
      <w:r>
        <w:rPr>
          <w:spacing w:val="-6"/>
          <w:vertAlign w:val="baseline"/>
        </w:rPr>
        <w:t> </w:t>
      </w:r>
      <w:r>
        <w:rPr>
          <w:vertAlign w:val="baseline"/>
        </w:rPr>
        <w:t>In</w:t>
      </w:r>
      <w:r>
        <w:rPr>
          <w:spacing w:val="-10"/>
          <w:vertAlign w:val="baseline"/>
        </w:rPr>
        <w:t> </w:t>
      </w:r>
      <w:r>
        <w:rPr>
          <w:vertAlign w:val="baseline"/>
        </w:rPr>
        <w:t>the</w:t>
      </w:r>
      <w:r>
        <w:rPr>
          <w:spacing w:val="-43"/>
          <w:vertAlign w:val="baseline"/>
        </w:rPr>
        <w:t> </w:t>
      </w:r>
      <w:r>
        <w:rPr>
          <w:vertAlign w:val="baseline"/>
        </w:rPr>
        <w:t>Philippines, only 10 cases have been reported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Philippine</w:t>
      </w:r>
      <w:r>
        <w:rPr>
          <w:spacing w:val="1"/>
          <w:vertAlign w:val="baseline"/>
        </w:rPr>
        <w:t> </w:t>
      </w:r>
      <w:r>
        <w:rPr>
          <w:vertAlign w:val="baseline"/>
        </w:rPr>
        <w:t>Pediatric</w:t>
      </w:r>
      <w:r>
        <w:rPr>
          <w:spacing w:val="1"/>
          <w:vertAlign w:val="baseline"/>
        </w:rPr>
        <w:t> </w:t>
      </w:r>
      <w:r>
        <w:rPr>
          <w:vertAlign w:val="baseline"/>
        </w:rPr>
        <w:t>Society</w:t>
      </w:r>
      <w:r>
        <w:rPr>
          <w:spacing w:val="1"/>
          <w:vertAlign w:val="baseline"/>
        </w:rPr>
        <w:t> </w:t>
      </w:r>
      <w:r>
        <w:rPr>
          <w:vertAlign w:val="baseline"/>
        </w:rPr>
        <w:t>Registry</w:t>
      </w:r>
      <w:r>
        <w:rPr>
          <w:spacing w:val="1"/>
          <w:vertAlign w:val="baseline"/>
        </w:rPr>
        <w:t> </w:t>
      </w:r>
      <w:r>
        <w:rPr>
          <w:vertAlign w:val="baseline"/>
        </w:rPr>
        <w:t>from</w:t>
      </w:r>
      <w:r>
        <w:rPr>
          <w:spacing w:val="1"/>
          <w:vertAlign w:val="baseline"/>
        </w:rPr>
        <w:t> </w:t>
      </w:r>
      <w:r>
        <w:rPr>
          <w:vertAlign w:val="baseline"/>
        </w:rPr>
        <w:t>2019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2021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only</w:t>
      </w:r>
      <w:r>
        <w:rPr>
          <w:spacing w:val="-4"/>
          <w:vertAlign w:val="baseline"/>
        </w:rPr>
        <w:t> </w:t>
      </w:r>
      <w:r>
        <w:rPr>
          <w:vertAlign w:val="baseline"/>
        </w:rPr>
        <w:t>3</w:t>
      </w:r>
      <w:r>
        <w:rPr>
          <w:spacing w:val="-4"/>
          <w:vertAlign w:val="baseline"/>
        </w:rPr>
        <w:t> </w:t>
      </w:r>
      <w:r>
        <w:rPr>
          <w:vertAlign w:val="baseline"/>
        </w:rPr>
        <w:t>were</w:t>
      </w:r>
      <w:r>
        <w:rPr>
          <w:spacing w:val="-3"/>
          <w:vertAlign w:val="baseline"/>
        </w:rPr>
        <w:t> </w:t>
      </w:r>
      <w:r>
        <w:rPr>
          <w:vertAlign w:val="baseline"/>
        </w:rPr>
        <w:t>reported</w:t>
      </w:r>
      <w:r>
        <w:rPr>
          <w:spacing w:val="-3"/>
          <w:vertAlign w:val="baseline"/>
        </w:rPr>
        <w:t> </w:t>
      </w:r>
      <w:r>
        <w:rPr>
          <w:vertAlign w:val="baseline"/>
        </w:rPr>
        <w:t>in</w:t>
      </w:r>
      <w:r>
        <w:rPr>
          <w:spacing w:val="2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past</w:t>
      </w:r>
      <w:r>
        <w:rPr>
          <w:spacing w:val="-4"/>
          <w:vertAlign w:val="baseline"/>
        </w:rPr>
        <w:t> </w:t>
      </w:r>
      <w:r>
        <w:rPr>
          <w:vertAlign w:val="baseline"/>
        </w:rPr>
        <w:t>year.</w:t>
      </w:r>
      <w:r>
        <w:rPr>
          <w:vertAlign w:val="superscript"/>
        </w:rPr>
        <w:t>3</w:t>
      </w:r>
    </w:p>
    <w:p>
      <w:pPr>
        <w:pStyle w:val="BodyText"/>
        <w:ind w:right="38" w:firstLine="720"/>
        <w:jc w:val="both"/>
      </w:pPr>
      <w:r>
        <w:rPr/>
        <w:t>The etiology of achalasia is largely unknown,</w:t>
      </w:r>
      <w:r>
        <w:rPr>
          <w:spacing w:val="-44"/>
        </w:rPr>
        <w:t> </w:t>
      </w:r>
      <w:r>
        <w:rPr/>
        <w:t>however, there is some evidence that achalasia is an</w:t>
      </w:r>
      <w:r>
        <w:rPr>
          <w:spacing w:val="1"/>
        </w:rPr>
        <w:t> </w:t>
      </w:r>
      <w:r>
        <w:rPr/>
        <w:t>autoimmune</w:t>
      </w:r>
      <w:r>
        <w:rPr>
          <w:spacing w:val="1"/>
        </w:rPr>
        <w:t> </w:t>
      </w:r>
      <w:r>
        <w:rPr/>
        <w:t>disease.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European</w:t>
      </w:r>
      <w:r>
        <w:rPr>
          <w:spacing w:val="1"/>
        </w:rPr>
        <w:t> </w:t>
      </w:r>
      <w:r>
        <w:rPr/>
        <w:t>study</w:t>
      </w:r>
      <w:r>
        <w:rPr>
          <w:spacing w:val="1"/>
        </w:rPr>
        <w:t> </w:t>
      </w:r>
      <w:r>
        <w:rPr/>
        <w:t>compared</w:t>
      </w:r>
      <w:r>
        <w:rPr>
          <w:spacing w:val="-43"/>
        </w:rPr>
        <w:t> </w:t>
      </w:r>
      <w:r>
        <w:rPr/>
        <w:t>immune-related</w:t>
      </w:r>
      <w:r>
        <w:rPr>
          <w:spacing w:val="1"/>
        </w:rPr>
        <w:t> </w:t>
      </w:r>
      <w:r>
        <w:rPr/>
        <w:t>deoxyribonucleic</w:t>
      </w:r>
      <w:r>
        <w:rPr>
          <w:spacing w:val="1"/>
        </w:rPr>
        <w:t> </w:t>
      </w:r>
      <w:r>
        <w:rPr/>
        <w:t>acid</w:t>
      </w:r>
      <w:r>
        <w:rPr>
          <w:spacing w:val="1"/>
        </w:rPr>
        <w:t> </w:t>
      </w:r>
      <w:r>
        <w:rPr/>
        <w:t>(DNA)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>
          <w:spacing w:val="-1"/>
        </w:rPr>
        <w:t>persons</w:t>
      </w:r>
      <w:r>
        <w:rPr>
          <w:spacing w:val="-8"/>
        </w:rPr>
        <w:t> </w:t>
      </w:r>
      <w:r>
        <w:rPr>
          <w:spacing w:val="-1"/>
        </w:rPr>
        <w:t>with</w:t>
      </w:r>
      <w:r>
        <w:rPr>
          <w:spacing w:val="-11"/>
        </w:rPr>
        <w:t> </w:t>
      </w:r>
      <w:r>
        <w:rPr>
          <w:spacing w:val="-1"/>
        </w:rPr>
        <w:t>achalasia</w:t>
      </w:r>
      <w:r>
        <w:rPr>
          <w:spacing w:val="-11"/>
        </w:rPr>
        <w:t> </w:t>
      </w:r>
      <w:r>
        <w:rPr>
          <w:spacing w:val="-1"/>
        </w:rPr>
        <w:t>with</w:t>
      </w:r>
      <w:r>
        <w:rPr>
          <w:spacing w:val="-11"/>
        </w:rPr>
        <w:t> </w:t>
      </w:r>
      <w:r>
        <w:rPr>
          <w:spacing w:val="-1"/>
        </w:rPr>
        <w:t>that</w:t>
      </w:r>
      <w:r>
        <w:rPr>
          <w:spacing w:val="-12"/>
        </w:rPr>
        <w:t> </w:t>
      </w:r>
      <w:r>
        <w:rPr>
          <w:spacing w:val="-1"/>
        </w:rPr>
        <w:t>of</w:t>
      </w:r>
      <w:r>
        <w:rPr>
          <w:spacing w:val="-12"/>
        </w:rPr>
        <w:t> </w:t>
      </w:r>
      <w:r>
        <w:rPr>
          <w:spacing w:val="-1"/>
        </w:rPr>
        <w:t>controls</w:t>
      </w:r>
      <w:r>
        <w:rPr>
          <w:spacing w:val="-8"/>
        </w:rPr>
        <w:t> </w:t>
      </w:r>
      <w:r>
        <w:rPr/>
        <w:t>and</w:t>
      </w:r>
      <w:r>
        <w:rPr>
          <w:spacing w:val="-11"/>
        </w:rPr>
        <w:t> </w:t>
      </w:r>
      <w:r>
        <w:rPr/>
        <w:t>found</w:t>
      </w:r>
    </w:p>
    <w:p>
      <w:pPr>
        <w:pStyle w:val="BodyText"/>
        <w:ind w:right="40"/>
        <w:jc w:val="both"/>
      </w:pPr>
      <w:r>
        <w:rPr/>
        <w:t>33</w:t>
      </w:r>
      <w:r>
        <w:rPr>
          <w:spacing w:val="1"/>
        </w:rPr>
        <w:t> </w:t>
      </w:r>
      <w:r>
        <w:rPr/>
        <w:t>single-nucleotide</w:t>
      </w:r>
      <w:r>
        <w:rPr>
          <w:spacing w:val="1"/>
        </w:rPr>
        <w:t> </w:t>
      </w:r>
      <w:r>
        <w:rPr/>
        <w:t>polymorphisms</w:t>
      </w:r>
      <w:r>
        <w:rPr>
          <w:spacing w:val="1"/>
        </w:rPr>
        <w:t> </w:t>
      </w:r>
      <w:r>
        <w:rPr/>
        <w:t>(SNPs)</w:t>
      </w:r>
      <w:r>
        <w:rPr>
          <w:spacing w:val="1"/>
        </w:rPr>
        <w:t> </w:t>
      </w:r>
      <w:r>
        <w:rPr/>
        <w:t>associated with achalasia. All of these were found 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major</w:t>
      </w:r>
      <w:r>
        <w:rPr>
          <w:spacing w:val="1"/>
        </w:rPr>
        <w:t> </w:t>
      </w:r>
      <w:r>
        <w:rPr/>
        <w:t>histocompatability</w:t>
      </w:r>
      <w:r>
        <w:rPr>
          <w:spacing w:val="1"/>
        </w:rPr>
        <w:t> </w:t>
      </w:r>
      <w:r>
        <w:rPr/>
        <w:t>complex</w:t>
      </w:r>
      <w:r>
        <w:rPr>
          <w:spacing w:val="1"/>
        </w:rPr>
        <w:t> </w:t>
      </w:r>
      <w:r>
        <w:rPr/>
        <w:t>region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chromosome</w:t>
      </w:r>
      <w:r>
        <w:rPr>
          <w:spacing w:val="1"/>
        </w:rPr>
        <w:t> </w:t>
      </w:r>
      <w:r>
        <w:rPr/>
        <w:t>6,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location</w:t>
      </w:r>
      <w:r>
        <w:rPr>
          <w:spacing w:val="1"/>
        </w:rPr>
        <w:t> </w:t>
      </w:r>
      <w:r>
        <w:rPr/>
        <w:t>associated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autoimmune</w:t>
      </w:r>
      <w:r>
        <w:rPr>
          <w:spacing w:val="1"/>
        </w:rPr>
        <w:t> </w:t>
      </w:r>
      <w:r>
        <w:rPr/>
        <w:t>disorders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multiple</w:t>
      </w:r>
      <w:r>
        <w:rPr>
          <w:spacing w:val="1"/>
        </w:rPr>
        <w:t> </w:t>
      </w:r>
      <w:r>
        <w:rPr/>
        <w:t>sclerosis,</w:t>
      </w:r>
      <w:r>
        <w:rPr>
          <w:spacing w:val="1"/>
        </w:rPr>
        <w:t> </w:t>
      </w:r>
      <w:r>
        <w:rPr/>
        <w:t>lupus,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type</w:t>
      </w:r>
      <w:r>
        <w:rPr>
          <w:spacing w:val="-1"/>
        </w:rPr>
        <w:t> </w:t>
      </w:r>
      <w:r>
        <w:rPr/>
        <w:t>1</w:t>
      </w:r>
      <w:r>
        <w:rPr>
          <w:spacing w:val="-3"/>
        </w:rPr>
        <w:t> </w:t>
      </w:r>
      <w:r>
        <w:rPr/>
        <w:t>diabetes.</w:t>
      </w:r>
      <w:r>
        <w:rPr>
          <w:vertAlign w:val="superscript"/>
        </w:rPr>
        <w:t>7</w:t>
      </w:r>
    </w:p>
    <w:p>
      <w:pPr>
        <w:pStyle w:val="BodyText"/>
        <w:ind w:right="40" w:firstLine="720"/>
        <w:jc w:val="both"/>
      </w:pPr>
      <w:r>
        <w:rPr/>
        <w:t>The</w:t>
      </w:r>
      <w:r>
        <w:rPr>
          <w:spacing w:val="1"/>
        </w:rPr>
        <w:t> </w:t>
      </w:r>
      <w:r>
        <w:rPr/>
        <w:t>pathophysiologic</w:t>
      </w:r>
      <w:r>
        <w:rPr>
          <w:spacing w:val="1"/>
        </w:rPr>
        <w:t> </w:t>
      </w:r>
      <w:r>
        <w:rPr/>
        <w:t>basis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achalasia</w:t>
      </w:r>
      <w:r>
        <w:rPr>
          <w:spacing w:val="1"/>
        </w:rPr>
        <w:t> </w:t>
      </w:r>
      <w:r>
        <w:rPr/>
        <w:t>is</w:t>
      </w:r>
      <w:r>
        <w:rPr>
          <w:spacing w:val="-43"/>
        </w:rPr>
        <w:t> </w:t>
      </w:r>
      <w:r>
        <w:rPr/>
        <w:t>characterized by the degeneration of the inhibitory</w:t>
      </w:r>
      <w:r>
        <w:rPr>
          <w:spacing w:val="1"/>
        </w:rPr>
        <w:t> </w:t>
      </w:r>
      <w:r>
        <w:rPr/>
        <w:t>myenteric</w:t>
      </w:r>
      <w:r>
        <w:rPr>
          <w:spacing w:val="1"/>
        </w:rPr>
        <w:t> </w:t>
      </w:r>
      <w:r>
        <w:rPr/>
        <w:t>plexus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innervates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lower</w:t>
      </w:r>
      <w:r>
        <w:rPr>
          <w:spacing w:val="1"/>
        </w:rPr>
        <w:t> </w:t>
      </w:r>
      <w:r>
        <w:rPr>
          <w:spacing w:val="-1"/>
        </w:rPr>
        <w:t>esophageal</w:t>
      </w:r>
      <w:r>
        <w:rPr>
          <w:spacing w:val="-11"/>
        </w:rPr>
        <w:t> </w:t>
      </w:r>
      <w:r>
        <w:rPr>
          <w:spacing w:val="-1"/>
        </w:rPr>
        <w:t>sphincter</w:t>
      </w:r>
      <w:r>
        <w:rPr>
          <w:spacing w:val="-8"/>
        </w:rPr>
        <w:t> </w:t>
      </w:r>
      <w:r>
        <w:rPr>
          <w:spacing w:val="-1"/>
        </w:rPr>
        <w:t>(LES)</w:t>
      </w:r>
      <w:r>
        <w:rPr>
          <w:spacing w:val="-9"/>
        </w:rPr>
        <w:t> </w:t>
      </w:r>
      <w:r>
        <w:rPr/>
        <w:t>and</w:t>
      </w:r>
      <w:r>
        <w:rPr>
          <w:spacing w:val="-5"/>
        </w:rPr>
        <w:t> </w:t>
      </w:r>
      <w:r>
        <w:rPr/>
        <w:t>esophageal</w:t>
      </w:r>
      <w:r>
        <w:rPr>
          <w:spacing w:val="-5"/>
        </w:rPr>
        <w:t> </w:t>
      </w:r>
      <w:r>
        <w:rPr/>
        <w:t>body.</w:t>
      </w:r>
      <w:r>
        <w:rPr>
          <w:spacing w:val="-5"/>
        </w:rPr>
        <w:t> </w:t>
      </w:r>
      <w:r>
        <w:rPr/>
        <w:t>This</w:t>
      </w:r>
      <w:r>
        <w:rPr>
          <w:spacing w:val="-43"/>
        </w:rPr>
        <w:t> </w:t>
      </w:r>
      <w:r>
        <w:rPr/>
        <w:t>leads to an imbalance in the inhibitory and excitatory</w:t>
      </w:r>
      <w:r>
        <w:rPr>
          <w:spacing w:val="-43"/>
        </w:rPr>
        <w:t> </w:t>
      </w:r>
      <w:r>
        <w:rPr>
          <w:spacing w:val="-1"/>
        </w:rPr>
        <w:t>neurons</w:t>
      </w:r>
      <w:r>
        <w:rPr>
          <w:spacing w:val="-9"/>
        </w:rPr>
        <w:t> </w:t>
      </w:r>
      <w:r>
        <w:rPr>
          <w:spacing w:val="-1"/>
        </w:rPr>
        <w:t>resulting</w:t>
      </w:r>
      <w:r>
        <w:rPr>
          <w:spacing w:val="-9"/>
        </w:rPr>
        <w:t> </w:t>
      </w:r>
      <w:r>
        <w:rPr>
          <w:spacing w:val="-1"/>
        </w:rPr>
        <w:t>in</w:t>
      </w:r>
      <w:r>
        <w:rPr>
          <w:spacing w:val="-9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/>
        <w:t>failure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LES</w:t>
      </w:r>
      <w:r>
        <w:rPr>
          <w:spacing w:val="-11"/>
        </w:rPr>
        <w:t> </w:t>
      </w:r>
      <w:r>
        <w:rPr/>
        <w:t>to</w:t>
      </w:r>
      <w:r>
        <w:rPr>
          <w:spacing w:val="-10"/>
        </w:rPr>
        <w:t> </w:t>
      </w:r>
      <w:r>
        <w:rPr/>
        <w:t>relax</w:t>
      </w:r>
      <w:r>
        <w:rPr>
          <w:spacing w:val="-10"/>
        </w:rPr>
        <w:t> </w:t>
      </w:r>
      <w:r>
        <w:rPr/>
        <w:t>with</w:t>
      </w:r>
      <w:r>
        <w:rPr>
          <w:spacing w:val="-43"/>
        </w:rPr>
        <w:t> </w:t>
      </w:r>
      <w:r>
        <w:rPr/>
        <w:t>swallowing, absence of peristalsis of the esophageal</w:t>
      </w:r>
      <w:r>
        <w:rPr>
          <w:spacing w:val="1"/>
        </w:rPr>
        <w:t> </w:t>
      </w:r>
      <w:r>
        <w:rPr/>
        <w:t>body,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increased</w:t>
      </w:r>
      <w:r>
        <w:rPr>
          <w:spacing w:val="-2"/>
        </w:rPr>
        <w:t> </w:t>
      </w:r>
      <w:r>
        <w:rPr/>
        <w:t>LES resting</w:t>
      </w:r>
      <w:r>
        <w:rPr>
          <w:spacing w:val="-2"/>
        </w:rPr>
        <w:t> </w:t>
      </w:r>
      <w:r>
        <w:rPr/>
        <w:t>pressures.</w:t>
      </w:r>
      <w:r>
        <w:rPr>
          <w:vertAlign w:val="superscript"/>
        </w:rPr>
        <w:t>8</w:t>
      </w:r>
    </w:p>
    <w:p>
      <w:pPr>
        <w:pStyle w:val="BodyText"/>
        <w:ind w:right="38" w:firstLine="720"/>
        <w:jc w:val="both"/>
      </w:pPr>
      <w:r>
        <w:rPr/>
        <w:t>Achalasia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characterized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progressive</w:t>
      </w:r>
      <w:r>
        <w:rPr>
          <w:spacing w:val="1"/>
        </w:rPr>
        <w:t> </w:t>
      </w:r>
      <w:r>
        <w:rPr/>
        <w:t>dysphagia, regurgitation, chest pain, heart burn, and</w:t>
      </w:r>
      <w:r>
        <w:rPr>
          <w:spacing w:val="1"/>
        </w:rPr>
        <w:t> </w:t>
      </w:r>
      <w:r>
        <w:rPr/>
        <w:t>weight</w:t>
      </w:r>
      <w:r>
        <w:rPr>
          <w:spacing w:val="-11"/>
        </w:rPr>
        <w:t> </w:t>
      </w:r>
      <w:r>
        <w:rPr/>
        <w:t>loss.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younger</w:t>
      </w:r>
      <w:r>
        <w:rPr>
          <w:spacing w:val="-9"/>
        </w:rPr>
        <w:t> </w:t>
      </w:r>
      <w:r>
        <w:rPr/>
        <w:t>children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infants,</w:t>
      </w:r>
      <w:r>
        <w:rPr>
          <w:spacing w:val="-10"/>
        </w:rPr>
        <w:t> </w:t>
      </w:r>
      <w:r>
        <w:rPr/>
        <w:t>they</w:t>
      </w:r>
      <w:r>
        <w:rPr>
          <w:spacing w:val="-10"/>
        </w:rPr>
        <w:t> </w:t>
      </w:r>
      <w:r>
        <w:rPr/>
        <w:t>may</w:t>
      </w:r>
      <w:r>
        <w:rPr>
          <w:spacing w:val="-43"/>
        </w:rPr>
        <w:t> </w:t>
      </w:r>
      <w:r>
        <w:rPr/>
        <w:t>also</w:t>
      </w:r>
      <w:r>
        <w:rPr>
          <w:spacing w:val="1"/>
        </w:rPr>
        <w:t> </w:t>
      </w:r>
      <w:r>
        <w:rPr/>
        <w:t>present</w:t>
      </w:r>
      <w:r>
        <w:rPr>
          <w:spacing w:val="1"/>
        </w:rPr>
        <w:t> </w:t>
      </w:r>
      <w:r>
        <w:rPr/>
        <w:t>atypically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recurrent</w:t>
      </w:r>
      <w:r>
        <w:rPr>
          <w:spacing w:val="1"/>
        </w:rPr>
        <w:t> </w:t>
      </w:r>
      <w:r>
        <w:rPr/>
        <w:t>pneumonia,</w:t>
      </w:r>
      <w:r>
        <w:rPr>
          <w:spacing w:val="1"/>
        </w:rPr>
        <w:t> </w:t>
      </w:r>
      <w:r>
        <w:rPr/>
        <w:t>nocturnal cough, aspiration, hoarseness, and feeding</w:t>
      </w:r>
      <w:r>
        <w:rPr>
          <w:spacing w:val="-43"/>
        </w:rPr>
        <w:t> </w:t>
      </w:r>
      <w:r>
        <w:rPr>
          <w:spacing w:val="-1"/>
        </w:rPr>
        <w:t>difficulties. Physical examination is usually normal for</w:t>
      </w:r>
      <w:r>
        <w:rPr/>
        <w:t> these patients.</w:t>
      </w:r>
      <w:r>
        <w:rPr>
          <w:vertAlign w:val="superscript"/>
        </w:rPr>
        <w:t>8</w:t>
      </w:r>
      <w:r>
        <w:rPr>
          <w:vertAlign w:val="baseline"/>
        </w:rPr>
        <w:t> Diagnosis is suspected by the clinical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history,</w:t>
      </w:r>
      <w:r>
        <w:rPr>
          <w:spacing w:val="-9"/>
          <w:vertAlign w:val="baseline"/>
        </w:rPr>
        <w:t> </w:t>
      </w:r>
      <w:r>
        <w:rPr>
          <w:spacing w:val="-1"/>
          <w:vertAlign w:val="baseline"/>
        </w:rPr>
        <w:t>but</w:t>
      </w:r>
      <w:r>
        <w:rPr>
          <w:spacing w:val="-9"/>
          <w:vertAlign w:val="baseline"/>
        </w:rPr>
        <w:t> </w:t>
      </w:r>
      <w:r>
        <w:rPr>
          <w:spacing w:val="-1"/>
          <w:vertAlign w:val="baseline"/>
        </w:rPr>
        <w:t>is</w:t>
      </w:r>
      <w:r>
        <w:rPr>
          <w:spacing w:val="-7"/>
          <w:vertAlign w:val="baseline"/>
        </w:rPr>
        <w:t> </w:t>
      </w:r>
      <w:r>
        <w:rPr>
          <w:spacing w:val="-1"/>
          <w:vertAlign w:val="baseline"/>
        </w:rPr>
        <w:t>often</w:t>
      </w:r>
      <w:r>
        <w:rPr>
          <w:spacing w:val="-7"/>
          <w:vertAlign w:val="baseline"/>
        </w:rPr>
        <w:t> </w:t>
      </w:r>
      <w:r>
        <w:rPr>
          <w:spacing w:val="-1"/>
          <w:vertAlign w:val="baseline"/>
        </w:rPr>
        <w:t>delayed</w:t>
      </w:r>
      <w:r>
        <w:rPr>
          <w:spacing w:val="-7"/>
          <w:vertAlign w:val="baseline"/>
        </w:rPr>
        <w:t> </w:t>
      </w:r>
      <w:r>
        <w:rPr>
          <w:spacing w:val="-1"/>
          <w:vertAlign w:val="baseline"/>
        </w:rPr>
        <w:t>in</w:t>
      </w:r>
      <w:r>
        <w:rPr>
          <w:spacing w:val="-8"/>
          <w:vertAlign w:val="baseline"/>
        </w:rPr>
        <w:t> </w:t>
      </w:r>
      <w:r>
        <w:rPr>
          <w:spacing w:val="-1"/>
          <w:vertAlign w:val="baseline"/>
        </w:rPr>
        <w:t>children</w:t>
      </w:r>
      <w:r>
        <w:rPr>
          <w:spacing w:val="-7"/>
          <w:vertAlign w:val="baseline"/>
        </w:rPr>
        <w:t> </w:t>
      </w:r>
      <w:r>
        <w:rPr>
          <w:spacing w:val="-1"/>
          <w:vertAlign w:val="baseline"/>
        </w:rPr>
        <w:t>because</w:t>
      </w:r>
      <w:r>
        <w:rPr>
          <w:spacing w:val="-7"/>
          <w:vertAlign w:val="baseline"/>
        </w:rPr>
        <w:t> </w:t>
      </w:r>
      <w:r>
        <w:rPr>
          <w:vertAlign w:val="baseline"/>
        </w:rPr>
        <w:t>of</w:t>
      </w:r>
      <w:r>
        <w:rPr>
          <w:spacing w:val="-9"/>
          <w:vertAlign w:val="baseline"/>
        </w:rPr>
        <w:t> </w:t>
      </w:r>
      <w:r>
        <w:rPr>
          <w:vertAlign w:val="baseline"/>
        </w:rPr>
        <w:t>the</w:t>
      </w:r>
      <w:r>
        <w:rPr>
          <w:spacing w:val="-43"/>
          <w:vertAlign w:val="baseline"/>
        </w:rPr>
        <w:t> </w:t>
      </w:r>
      <w:r>
        <w:rPr>
          <w:vertAlign w:val="baseline"/>
        </w:rPr>
        <w:t>rarity</w:t>
      </w:r>
      <w:r>
        <w:rPr>
          <w:spacing w:val="19"/>
          <w:vertAlign w:val="baseline"/>
        </w:rPr>
        <w:t> </w:t>
      </w:r>
      <w:r>
        <w:rPr>
          <w:vertAlign w:val="baseline"/>
        </w:rPr>
        <w:t>of</w:t>
      </w:r>
      <w:r>
        <w:rPr>
          <w:spacing w:val="20"/>
          <w:vertAlign w:val="baseline"/>
        </w:rPr>
        <w:t> </w:t>
      </w:r>
      <w:r>
        <w:rPr>
          <w:vertAlign w:val="baseline"/>
        </w:rPr>
        <w:t>the</w:t>
      </w:r>
      <w:r>
        <w:rPr>
          <w:spacing w:val="25"/>
          <w:vertAlign w:val="baseline"/>
        </w:rPr>
        <w:t> </w:t>
      </w:r>
      <w:r>
        <w:rPr>
          <w:vertAlign w:val="baseline"/>
        </w:rPr>
        <w:t>disease.</w:t>
      </w:r>
      <w:r>
        <w:rPr>
          <w:spacing w:val="20"/>
          <w:vertAlign w:val="baseline"/>
        </w:rPr>
        <w:t> </w:t>
      </w:r>
      <w:r>
        <w:rPr>
          <w:vertAlign w:val="baseline"/>
        </w:rPr>
        <w:t>Achalasia</w:t>
      </w:r>
      <w:r>
        <w:rPr>
          <w:spacing w:val="20"/>
          <w:vertAlign w:val="baseline"/>
        </w:rPr>
        <w:t> </w:t>
      </w:r>
      <w:r>
        <w:rPr>
          <w:vertAlign w:val="baseline"/>
        </w:rPr>
        <w:t>symptoms</w:t>
      </w:r>
      <w:r>
        <w:rPr>
          <w:spacing w:val="21"/>
          <w:vertAlign w:val="baseline"/>
        </w:rPr>
        <w:t> </w:t>
      </w:r>
      <w:r>
        <w:rPr>
          <w:vertAlign w:val="baseline"/>
        </w:rPr>
        <w:t>are</w:t>
      </w:r>
      <w:r>
        <w:rPr>
          <w:spacing w:val="21"/>
          <w:vertAlign w:val="baseline"/>
        </w:rPr>
        <w:t> </w:t>
      </w:r>
      <w:r>
        <w:rPr>
          <w:vertAlign w:val="baseline"/>
        </w:rPr>
        <w:t>often</w:t>
      </w:r>
    </w:p>
    <w:p>
      <w:pPr>
        <w:pStyle w:val="BodyText"/>
        <w:spacing w:before="35"/>
        <w:ind w:right="112"/>
        <w:jc w:val="both"/>
      </w:pPr>
      <w:r>
        <w:rPr/>
        <w:br w:type="column"/>
      </w:r>
      <w:r>
        <w:rPr/>
        <w:t>wrongly interpreted and contributed to GERD or an</w:t>
      </w:r>
      <w:r>
        <w:rPr>
          <w:spacing w:val="1"/>
        </w:rPr>
        <w:t> </w:t>
      </w:r>
      <w:r>
        <w:rPr>
          <w:spacing w:val="-1"/>
        </w:rPr>
        <w:t>eating</w:t>
      </w:r>
      <w:r>
        <w:rPr>
          <w:spacing w:val="-9"/>
        </w:rPr>
        <w:t> </w:t>
      </w:r>
      <w:r>
        <w:rPr>
          <w:spacing w:val="-1"/>
        </w:rPr>
        <w:t>disorder,</w:t>
      </w:r>
      <w:r>
        <w:rPr>
          <w:spacing w:val="-10"/>
        </w:rPr>
        <w:t> </w:t>
      </w:r>
      <w:r>
        <w:rPr>
          <w:spacing w:val="-1"/>
        </w:rPr>
        <w:t>leading</w:t>
      </w:r>
      <w:r>
        <w:rPr>
          <w:spacing w:val="-9"/>
        </w:rPr>
        <w:t> </w:t>
      </w:r>
      <w:r>
        <w:rPr>
          <w:spacing w:val="-1"/>
        </w:rPr>
        <w:t>to</w:t>
      </w:r>
      <w:r>
        <w:rPr>
          <w:spacing w:val="-10"/>
        </w:rPr>
        <w:t> </w:t>
      </w:r>
      <w:r>
        <w:rPr>
          <w:spacing w:val="-1"/>
        </w:rPr>
        <w:t>delayed</w:t>
      </w:r>
      <w:r>
        <w:rPr>
          <w:spacing w:val="-9"/>
        </w:rPr>
        <w:t> </w:t>
      </w:r>
      <w:r>
        <w:rPr/>
        <w:t>diagnosis</w:t>
      </w:r>
      <w:r>
        <w:rPr>
          <w:spacing w:val="-8"/>
        </w:rPr>
        <w:t> </w:t>
      </w:r>
      <w:r>
        <w:rPr/>
        <w:t>and</w:t>
      </w:r>
      <w:r>
        <w:rPr>
          <w:spacing w:val="-10"/>
        </w:rPr>
        <w:t> </w:t>
      </w:r>
      <w:r>
        <w:rPr/>
        <w:t>start</w:t>
      </w:r>
      <w:r>
        <w:rPr>
          <w:spacing w:val="-43"/>
        </w:rPr>
        <w:t> </w:t>
      </w:r>
      <w:r>
        <w:rPr/>
        <w:t>of</w:t>
      </w:r>
      <w:r>
        <w:rPr>
          <w:spacing w:val="1"/>
        </w:rPr>
        <w:t> </w:t>
      </w:r>
      <w:r>
        <w:rPr/>
        <w:t>appropriate</w:t>
      </w:r>
      <w:r>
        <w:rPr>
          <w:spacing w:val="1"/>
        </w:rPr>
        <w:t> </w:t>
      </w:r>
      <w:r>
        <w:rPr/>
        <w:t>therapy.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Eckardt</w:t>
      </w:r>
      <w:r>
        <w:rPr>
          <w:spacing w:val="1"/>
        </w:rPr>
        <w:t> </w:t>
      </w:r>
      <w:r>
        <w:rPr/>
        <w:t>score</w:t>
      </w:r>
      <w:r>
        <w:rPr>
          <w:spacing w:val="1"/>
        </w:rPr>
        <w:t> </w:t>
      </w:r>
      <w:r>
        <w:rPr/>
        <w:t>was</w:t>
      </w:r>
      <w:r>
        <w:rPr>
          <w:spacing w:val="-43"/>
        </w:rPr>
        <w:t> </w:t>
      </w:r>
      <w:r>
        <w:rPr/>
        <w:t>developed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objectify</w:t>
      </w:r>
      <w:r>
        <w:rPr>
          <w:spacing w:val="-6"/>
        </w:rPr>
        <w:t> </w:t>
      </w:r>
      <w:r>
        <w:rPr/>
        <w:t>achalasia</w:t>
      </w:r>
      <w:r>
        <w:rPr>
          <w:spacing w:val="-6"/>
        </w:rPr>
        <w:t> </w:t>
      </w:r>
      <w:r>
        <w:rPr/>
        <w:t>symptoms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43"/>
        </w:rPr>
        <w:t> </w:t>
      </w:r>
      <w:r>
        <w:rPr/>
        <w:t>sum of symptom scores for dysphagia, regurgitation,</w:t>
      </w:r>
      <w:r>
        <w:rPr>
          <w:spacing w:val="1"/>
        </w:rPr>
        <w:t> </w:t>
      </w:r>
      <w:r>
        <w:rPr/>
        <w:t>chest pain, and weight loss.</w:t>
      </w:r>
      <w:r>
        <w:rPr>
          <w:vertAlign w:val="superscript"/>
        </w:rPr>
        <w:t>2</w:t>
      </w:r>
      <w:r>
        <w:rPr>
          <w:vertAlign w:val="baseline"/>
        </w:rPr>
        <w:t> Each item is graded on a</w:t>
      </w:r>
      <w:r>
        <w:rPr>
          <w:spacing w:val="-44"/>
          <w:vertAlign w:val="baseline"/>
        </w:rPr>
        <w:t> </w:t>
      </w:r>
      <w:r>
        <w:rPr>
          <w:vertAlign w:val="baseline"/>
        </w:rPr>
        <w:t>score of 0 to 3, with a maximum score of 12. Scores</w:t>
      </w:r>
      <w:r>
        <w:rPr>
          <w:spacing w:val="1"/>
          <w:vertAlign w:val="baseline"/>
        </w:rPr>
        <w:t> </w:t>
      </w:r>
      <w:r>
        <w:rPr>
          <w:vertAlign w:val="baseline"/>
        </w:rPr>
        <w:t>greater than or equal to 3 are considered suggestive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active</w:t>
      </w:r>
      <w:r>
        <w:rPr>
          <w:spacing w:val="1"/>
          <w:vertAlign w:val="baseline"/>
        </w:rPr>
        <w:t> </w:t>
      </w:r>
      <w:r>
        <w:rPr>
          <w:vertAlign w:val="baseline"/>
        </w:rPr>
        <w:t>achalasia</w:t>
      </w:r>
      <w:r>
        <w:rPr>
          <w:spacing w:val="1"/>
          <w:vertAlign w:val="baseline"/>
        </w:rPr>
        <w:t> </w:t>
      </w:r>
      <w:r>
        <w:rPr>
          <w:vertAlign w:val="baseline"/>
        </w:rPr>
        <w:t>(Table</w:t>
      </w:r>
      <w:r>
        <w:rPr>
          <w:spacing w:val="1"/>
          <w:vertAlign w:val="baseline"/>
        </w:rPr>
        <w:t> </w:t>
      </w:r>
      <w:r>
        <w:rPr>
          <w:vertAlign w:val="baseline"/>
        </w:rPr>
        <w:t>1).</w:t>
      </w:r>
      <w:r>
        <w:rPr>
          <w:vertAlign w:val="superscript"/>
        </w:rPr>
        <w:t>9</w:t>
      </w:r>
      <w:r>
        <w:rPr>
          <w:spacing w:val="1"/>
          <w:vertAlign w:val="baseline"/>
        </w:rPr>
        <w:t> </w:t>
      </w:r>
      <w:r>
        <w:rPr>
          <w:vertAlign w:val="baseline"/>
        </w:rPr>
        <w:t>Symptoms</w:t>
      </w:r>
      <w:r>
        <w:rPr>
          <w:spacing w:val="1"/>
          <w:vertAlign w:val="baseline"/>
        </w:rPr>
        <w:t> </w:t>
      </w:r>
      <w:r>
        <w:rPr>
          <w:vertAlign w:val="baseline"/>
        </w:rPr>
        <w:t>alone,</w:t>
      </w:r>
      <w:r>
        <w:rPr>
          <w:spacing w:val="1"/>
          <w:vertAlign w:val="baseline"/>
        </w:rPr>
        <w:t> </w:t>
      </w:r>
      <w:r>
        <w:rPr>
          <w:vertAlign w:val="baseline"/>
        </w:rPr>
        <w:t>however, do not reliably diagnose the disease since</w:t>
      </w:r>
      <w:r>
        <w:rPr>
          <w:spacing w:val="1"/>
          <w:vertAlign w:val="baseline"/>
        </w:rPr>
        <w:t> </w:t>
      </w:r>
      <w:r>
        <w:rPr>
          <w:vertAlign w:val="baseline"/>
        </w:rPr>
        <w:t>there</w:t>
      </w:r>
      <w:r>
        <w:rPr>
          <w:spacing w:val="1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an</w:t>
      </w:r>
      <w:r>
        <w:rPr>
          <w:spacing w:val="1"/>
          <w:vertAlign w:val="baseline"/>
        </w:rPr>
        <w:t> </w:t>
      </w:r>
      <w:r>
        <w:rPr>
          <w:vertAlign w:val="baseline"/>
        </w:rPr>
        <w:t>overlap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symptoms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1"/>
          <w:vertAlign w:val="baseline"/>
        </w:rPr>
        <w:t> </w:t>
      </w:r>
      <w:r>
        <w:rPr>
          <w:vertAlign w:val="baseline"/>
        </w:rPr>
        <w:t>other</w:t>
      </w:r>
      <w:r>
        <w:rPr>
          <w:spacing w:val="1"/>
          <w:vertAlign w:val="baseline"/>
        </w:rPr>
        <w:t> </w:t>
      </w:r>
      <w:r>
        <w:rPr>
          <w:vertAlign w:val="baseline"/>
        </w:rPr>
        <w:t>esophageal</w:t>
      </w:r>
      <w:r>
        <w:rPr>
          <w:spacing w:val="1"/>
          <w:vertAlign w:val="baseline"/>
        </w:rPr>
        <w:t> </w:t>
      </w:r>
      <w:r>
        <w:rPr>
          <w:vertAlign w:val="baseline"/>
        </w:rPr>
        <w:t>diseases,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particularly</w:t>
      </w:r>
      <w:r>
        <w:rPr>
          <w:spacing w:val="1"/>
          <w:vertAlign w:val="baseline"/>
        </w:rPr>
        <w:t> </w:t>
      </w:r>
      <w:r>
        <w:rPr>
          <w:vertAlign w:val="baseline"/>
        </w:rPr>
        <w:t>gastroesophageal</w:t>
      </w:r>
      <w:r>
        <w:rPr>
          <w:spacing w:val="1"/>
          <w:vertAlign w:val="baseline"/>
        </w:rPr>
        <w:t> </w:t>
      </w:r>
      <w:r>
        <w:rPr>
          <w:vertAlign w:val="baseline"/>
        </w:rPr>
        <w:t>reflux disease. Furthermore, symptoms presence or</w:t>
      </w:r>
      <w:r>
        <w:rPr>
          <w:spacing w:val="1"/>
          <w:vertAlign w:val="baseline"/>
        </w:rPr>
        <w:t> </w:t>
      </w:r>
      <w:r>
        <w:rPr>
          <w:vertAlign w:val="baseline"/>
        </w:rPr>
        <w:t>severity</w:t>
      </w:r>
      <w:r>
        <w:rPr>
          <w:spacing w:val="-10"/>
          <w:vertAlign w:val="baseline"/>
        </w:rPr>
        <w:t> </w:t>
      </w:r>
      <w:r>
        <w:rPr>
          <w:vertAlign w:val="baseline"/>
        </w:rPr>
        <w:t>does</w:t>
      </w:r>
      <w:r>
        <w:rPr>
          <w:spacing w:val="-7"/>
          <w:vertAlign w:val="baseline"/>
        </w:rPr>
        <w:t> </w:t>
      </w:r>
      <w:r>
        <w:rPr>
          <w:vertAlign w:val="baseline"/>
        </w:rPr>
        <w:t>not</w:t>
      </w:r>
      <w:r>
        <w:rPr>
          <w:spacing w:val="-12"/>
          <w:vertAlign w:val="baseline"/>
        </w:rPr>
        <w:t> </w:t>
      </w:r>
      <w:r>
        <w:rPr>
          <w:vertAlign w:val="baseline"/>
        </w:rPr>
        <w:t>correlate</w:t>
      </w:r>
      <w:r>
        <w:rPr>
          <w:spacing w:val="-8"/>
          <w:vertAlign w:val="baseline"/>
        </w:rPr>
        <w:t> </w:t>
      </w:r>
      <w:r>
        <w:rPr>
          <w:vertAlign w:val="baseline"/>
        </w:rPr>
        <w:t>with</w:t>
      </w:r>
      <w:r>
        <w:rPr>
          <w:spacing w:val="-10"/>
          <w:vertAlign w:val="baseline"/>
        </w:rPr>
        <w:t> </w:t>
      </w:r>
      <w:r>
        <w:rPr>
          <w:vertAlign w:val="baseline"/>
        </w:rPr>
        <w:t>manometric</w:t>
      </w:r>
      <w:r>
        <w:rPr>
          <w:spacing w:val="-8"/>
          <w:vertAlign w:val="baseline"/>
        </w:rPr>
        <w:t> </w:t>
      </w:r>
      <w:r>
        <w:rPr>
          <w:vertAlign w:val="baseline"/>
        </w:rPr>
        <w:t>findings,</w:t>
      </w:r>
      <w:r>
        <w:rPr>
          <w:spacing w:val="-43"/>
          <w:vertAlign w:val="baseline"/>
        </w:rPr>
        <w:t> </w:t>
      </w:r>
      <w:r>
        <w:rPr>
          <w:vertAlign w:val="baseline"/>
        </w:rPr>
        <w:t>degree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esophageal</w:t>
      </w:r>
      <w:r>
        <w:rPr>
          <w:spacing w:val="1"/>
          <w:vertAlign w:val="baseline"/>
        </w:rPr>
        <w:t> </w:t>
      </w:r>
      <w:r>
        <w:rPr>
          <w:vertAlign w:val="baseline"/>
        </w:rPr>
        <w:t>dilatation,</w:t>
      </w:r>
      <w:r>
        <w:rPr>
          <w:spacing w:val="1"/>
          <w:vertAlign w:val="baseline"/>
        </w:rPr>
        <w:t> </w:t>
      </w:r>
      <w:r>
        <w:rPr>
          <w:vertAlign w:val="baseline"/>
        </w:rPr>
        <w:t>or</w:t>
      </w:r>
      <w:r>
        <w:rPr>
          <w:spacing w:val="1"/>
          <w:vertAlign w:val="baseline"/>
        </w:rPr>
        <w:t> </w:t>
      </w:r>
      <w:r>
        <w:rPr>
          <w:vertAlign w:val="baseline"/>
        </w:rPr>
        <w:t>prognosis.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complete workup is necessary in these patients, not</w:t>
      </w:r>
      <w:r>
        <w:rPr>
          <w:spacing w:val="1"/>
          <w:vertAlign w:val="baseline"/>
        </w:rPr>
        <w:t> </w:t>
      </w:r>
      <w:r>
        <w:rPr>
          <w:vertAlign w:val="baseline"/>
        </w:rPr>
        <w:t>only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diagnosis</w:t>
      </w:r>
      <w:r>
        <w:rPr>
          <w:spacing w:val="1"/>
          <w:vertAlign w:val="baseline"/>
        </w:rPr>
        <w:t> </w:t>
      </w:r>
      <w:r>
        <w:rPr>
          <w:vertAlign w:val="baseline"/>
        </w:rPr>
        <w:t>but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prognosis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establish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proper</w:t>
      </w:r>
      <w:r>
        <w:rPr>
          <w:spacing w:val="1"/>
          <w:vertAlign w:val="baseline"/>
        </w:rPr>
        <w:t> </w:t>
      </w:r>
      <w:r>
        <w:rPr>
          <w:vertAlign w:val="baseline"/>
        </w:rPr>
        <w:t>therapeutic</w:t>
      </w:r>
      <w:r>
        <w:rPr>
          <w:spacing w:val="1"/>
          <w:vertAlign w:val="baseline"/>
        </w:rPr>
        <w:t> </w:t>
      </w:r>
      <w:r>
        <w:rPr>
          <w:vertAlign w:val="baseline"/>
        </w:rPr>
        <w:t>approach.</w:t>
      </w:r>
      <w:r>
        <w:rPr>
          <w:vertAlign w:val="superscript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Our</w:t>
      </w:r>
      <w:r>
        <w:rPr>
          <w:spacing w:val="1"/>
          <w:vertAlign w:val="baseline"/>
        </w:rPr>
        <w:t> </w:t>
      </w:r>
      <w:r>
        <w:rPr>
          <w:vertAlign w:val="baseline"/>
        </w:rPr>
        <w:t>patient</w:t>
      </w:r>
      <w:r>
        <w:rPr>
          <w:spacing w:val="29"/>
          <w:vertAlign w:val="baseline"/>
        </w:rPr>
        <w:t> </w:t>
      </w:r>
      <w:r>
        <w:rPr>
          <w:vertAlign w:val="baseline"/>
        </w:rPr>
        <w:t>had</w:t>
      </w:r>
      <w:r>
        <w:rPr>
          <w:spacing w:val="35"/>
          <w:vertAlign w:val="baseline"/>
        </w:rPr>
        <w:t> </w:t>
      </w:r>
      <w:r>
        <w:rPr>
          <w:vertAlign w:val="baseline"/>
        </w:rPr>
        <w:t>a</w:t>
      </w:r>
      <w:r>
        <w:rPr>
          <w:spacing w:val="30"/>
          <w:vertAlign w:val="baseline"/>
        </w:rPr>
        <w:t> </w:t>
      </w:r>
      <w:r>
        <w:rPr>
          <w:vertAlign w:val="baseline"/>
        </w:rPr>
        <w:t>total</w:t>
      </w:r>
      <w:r>
        <w:rPr>
          <w:spacing w:val="30"/>
          <w:vertAlign w:val="baseline"/>
        </w:rPr>
        <w:t> </w:t>
      </w:r>
      <w:r>
        <w:rPr>
          <w:vertAlign w:val="baseline"/>
        </w:rPr>
        <w:t>Eckardt</w:t>
      </w:r>
      <w:r>
        <w:rPr>
          <w:spacing w:val="34"/>
          <w:vertAlign w:val="baseline"/>
        </w:rPr>
        <w:t> </w:t>
      </w:r>
      <w:r>
        <w:rPr>
          <w:vertAlign w:val="baseline"/>
        </w:rPr>
        <w:t>score</w:t>
      </w:r>
      <w:r>
        <w:rPr>
          <w:spacing w:val="31"/>
          <w:vertAlign w:val="baseline"/>
        </w:rPr>
        <w:t> </w:t>
      </w:r>
      <w:r>
        <w:rPr>
          <w:vertAlign w:val="baseline"/>
        </w:rPr>
        <w:t>of</w:t>
      </w:r>
      <w:r>
        <w:rPr>
          <w:spacing w:val="34"/>
          <w:vertAlign w:val="baseline"/>
        </w:rPr>
        <w:t> </w:t>
      </w:r>
      <w:r>
        <w:rPr>
          <w:vertAlign w:val="baseline"/>
        </w:rPr>
        <w:t>8</w:t>
      </w:r>
      <w:r>
        <w:rPr>
          <w:spacing w:val="34"/>
          <w:vertAlign w:val="baseline"/>
        </w:rPr>
        <w:t> </w:t>
      </w:r>
      <w:r>
        <w:rPr>
          <w:vertAlign w:val="baseline"/>
        </w:rPr>
        <w:t>(weight</w:t>
      </w:r>
      <w:r>
        <w:rPr>
          <w:spacing w:val="34"/>
          <w:vertAlign w:val="baseline"/>
        </w:rPr>
        <w:t> </w:t>
      </w:r>
      <w:r>
        <w:rPr>
          <w:vertAlign w:val="baseline"/>
        </w:rPr>
        <w:t>loss</w:t>
      </w:r>
    </w:p>
    <w:p>
      <w:pPr>
        <w:pStyle w:val="BodyText"/>
        <w:spacing w:before="3"/>
        <w:ind w:right="116"/>
        <w:jc w:val="both"/>
      </w:pPr>
      <w:r>
        <w:rPr/>
        <w:t>&gt;10kg, daily dysphagia, occasional restrosternal pain,</w:t>
      </w:r>
      <w:r>
        <w:rPr>
          <w:spacing w:val="-43"/>
        </w:rPr>
        <w:t> </w:t>
      </w:r>
      <w:r>
        <w:rPr>
          <w:spacing w:val="-1"/>
        </w:rPr>
        <w:t>and</w:t>
      </w:r>
      <w:r>
        <w:rPr>
          <w:spacing w:val="-11"/>
        </w:rPr>
        <w:t> </w:t>
      </w:r>
      <w:r>
        <w:rPr>
          <w:spacing w:val="-1"/>
        </w:rPr>
        <w:t>daily</w:t>
      </w:r>
      <w:r>
        <w:rPr>
          <w:spacing w:val="-10"/>
        </w:rPr>
        <w:t> </w:t>
      </w:r>
      <w:r>
        <w:rPr>
          <w:spacing w:val="-1"/>
        </w:rPr>
        <w:t>regurgitation),</w:t>
      </w:r>
      <w:r>
        <w:rPr>
          <w:spacing w:val="-11"/>
        </w:rPr>
        <w:t> </w:t>
      </w:r>
      <w:r>
        <w:rPr>
          <w:spacing w:val="-1"/>
        </w:rPr>
        <w:t>which</w:t>
      </w:r>
      <w:r>
        <w:rPr>
          <w:spacing w:val="-9"/>
        </w:rPr>
        <w:t> </w:t>
      </w:r>
      <w:r>
        <w:rPr>
          <w:spacing w:val="-1"/>
        </w:rPr>
        <w:t>was</w:t>
      </w:r>
      <w:r>
        <w:rPr>
          <w:spacing w:val="-9"/>
        </w:rPr>
        <w:t> </w:t>
      </w:r>
      <w:r>
        <w:rPr>
          <w:spacing w:val="-1"/>
        </w:rPr>
        <w:t>indicative</w:t>
      </w:r>
      <w:r>
        <w:rPr>
          <w:spacing w:val="-10"/>
        </w:rPr>
        <w:t> </w:t>
      </w:r>
      <w:r>
        <w:rPr/>
        <w:t>of</w:t>
      </w:r>
      <w:r>
        <w:rPr>
          <w:spacing w:val="-12"/>
        </w:rPr>
        <w:t> </w:t>
      </w:r>
      <w:r>
        <w:rPr/>
        <w:t>active</w:t>
      </w:r>
      <w:r>
        <w:rPr>
          <w:spacing w:val="-43"/>
        </w:rPr>
        <w:t> </w:t>
      </w:r>
      <w:r>
        <w:rPr/>
        <w:t>achalasia.</w:t>
      </w:r>
    </w:p>
    <w:p>
      <w:pPr>
        <w:pStyle w:val="BodyText"/>
        <w:spacing w:before="10"/>
        <w:ind w:left="0"/>
        <w:rPr>
          <w:sz w:val="19"/>
        </w:rPr>
      </w:pPr>
    </w:p>
    <w:p>
      <w:pPr>
        <w:pStyle w:val="BodyText"/>
        <w:spacing w:before="1"/>
        <w:ind w:right="121"/>
        <w:jc w:val="both"/>
      </w:pPr>
      <w:r>
        <w:rPr/>
        <w:t>Table 1. Eckardt score for symptomatic evaluation in</w:t>
      </w:r>
      <w:r>
        <w:rPr>
          <w:spacing w:val="1"/>
        </w:rPr>
        <w:t> </w:t>
      </w:r>
      <w:r>
        <w:rPr/>
        <w:t>achalasia</w:t>
      </w: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5"/>
        <w:gridCol w:w="790"/>
        <w:gridCol w:w="864"/>
        <w:gridCol w:w="914"/>
        <w:gridCol w:w="979"/>
      </w:tblGrid>
      <w:tr>
        <w:trPr>
          <w:trHeight w:val="345" w:hRule="atLeast"/>
        </w:trPr>
        <w:tc>
          <w:tcPr>
            <w:tcW w:w="765" w:type="dxa"/>
          </w:tcPr>
          <w:p>
            <w:pPr>
              <w:pStyle w:val="TableParagraph"/>
              <w:spacing w:line="240" w:lineRule="auto"/>
              <w:ind w:left="199" w:right="199"/>
              <w:rPr>
                <w:sz w:val="14"/>
              </w:rPr>
            </w:pPr>
            <w:r>
              <w:rPr>
                <w:sz w:val="14"/>
              </w:rPr>
              <w:t>Score</w:t>
            </w:r>
          </w:p>
        </w:tc>
        <w:tc>
          <w:tcPr>
            <w:tcW w:w="790" w:type="dxa"/>
          </w:tcPr>
          <w:p>
            <w:pPr>
              <w:pStyle w:val="TableParagraph"/>
              <w:spacing w:line="170" w:lineRule="exact"/>
              <w:ind w:left="190" w:right="0"/>
              <w:jc w:val="left"/>
              <w:rPr>
                <w:sz w:val="14"/>
              </w:rPr>
            </w:pPr>
            <w:r>
              <w:rPr>
                <w:sz w:val="14"/>
              </w:rPr>
              <w:t>Weight</w:t>
            </w:r>
          </w:p>
          <w:p>
            <w:pPr>
              <w:pStyle w:val="TableParagraph"/>
              <w:spacing w:line="153" w:lineRule="exact" w:before="0"/>
              <w:ind w:left="165" w:right="0"/>
              <w:jc w:val="left"/>
              <w:rPr>
                <w:sz w:val="14"/>
              </w:rPr>
            </w:pPr>
            <w:r>
              <w:rPr>
                <w:spacing w:val="-1"/>
                <w:sz w:val="14"/>
              </w:rPr>
              <w:t>loss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(kg)</w:t>
            </w:r>
          </w:p>
        </w:tc>
        <w:tc>
          <w:tcPr>
            <w:tcW w:w="864" w:type="dxa"/>
          </w:tcPr>
          <w:p>
            <w:pPr>
              <w:pStyle w:val="TableParagraph"/>
              <w:spacing w:line="240" w:lineRule="auto"/>
              <w:ind w:left="100" w:right="96"/>
              <w:rPr>
                <w:sz w:val="14"/>
              </w:rPr>
            </w:pPr>
            <w:r>
              <w:rPr>
                <w:sz w:val="14"/>
              </w:rPr>
              <w:t>Dysphagia</w:t>
            </w:r>
          </w:p>
        </w:tc>
        <w:tc>
          <w:tcPr>
            <w:tcW w:w="914" w:type="dxa"/>
          </w:tcPr>
          <w:p>
            <w:pPr>
              <w:pStyle w:val="TableParagraph"/>
              <w:spacing w:line="170" w:lineRule="exact"/>
              <w:ind w:left="83"/>
              <w:rPr>
                <w:sz w:val="14"/>
              </w:rPr>
            </w:pPr>
            <w:r>
              <w:rPr>
                <w:sz w:val="14"/>
              </w:rPr>
              <w:t>Retrosternal</w:t>
            </w:r>
          </w:p>
          <w:p>
            <w:pPr>
              <w:pStyle w:val="TableParagraph"/>
              <w:spacing w:line="153" w:lineRule="exact" w:before="0"/>
              <w:ind w:left="80"/>
              <w:rPr>
                <w:sz w:val="14"/>
              </w:rPr>
            </w:pPr>
            <w:r>
              <w:rPr>
                <w:sz w:val="14"/>
              </w:rPr>
              <w:t>Pain</w:t>
            </w:r>
          </w:p>
        </w:tc>
        <w:tc>
          <w:tcPr>
            <w:tcW w:w="979" w:type="dxa"/>
          </w:tcPr>
          <w:p>
            <w:pPr>
              <w:pStyle w:val="TableParagraph"/>
              <w:spacing w:line="240" w:lineRule="auto"/>
              <w:ind w:left="83" w:right="73"/>
              <w:rPr>
                <w:sz w:val="14"/>
              </w:rPr>
            </w:pPr>
            <w:r>
              <w:rPr>
                <w:sz w:val="14"/>
              </w:rPr>
              <w:t>Regurgitation</w:t>
            </w:r>
          </w:p>
        </w:tc>
      </w:tr>
      <w:tr>
        <w:trPr>
          <w:trHeight w:val="170" w:hRule="atLeast"/>
        </w:trPr>
        <w:tc>
          <w:tcPr>
            <w:tcW w:w="765" w:type="dxa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790" w:type="dxa"/>
          </w:tcPr>
          <w:p>
            <w:pPr>
              <w:pStyle w:val="TableParagraph"/>
              <w:ind w:left="221" w:right="211"/>
              <w:rPr>
                <w:sz w:val="14"/>
              </w:rPr>
            </w:pPr>
            <w:r>
              <w:rPr>
                <w:sz w:val="14"/>
              </w:rPr>
              <w:t>None</w:t>
            </w:r>
          </w:p>
        </w:tc>
        <w:tc>
          <w:tcPr>
            <w:tcW w:w="864" w:type="dxa"/>
          </w:tcPr>
          <w:p>
            <w:pPr>
              <w:pStyle w:val="TableParagraph"/>
              <w:ind w:left="105" w:right="88"/>
              <w:rPr>
                <w:sz w:val="14"/>
              </w:rPr>
            </w:pPr>
            <w:r>
              <w:rPr>
                <w:sz w:val="14"/>
              </w:rPr>
              <w:t>None</w:t>
            </w:r>
          </w:p>
        </w:tc>
        <w:tc>
          <w:tcPr>
            <w:tcW w:w="914" w:type="dxa"/>
          </w:tcPr>
          <w:p>
            <w:pPr>
              <w:pStyle w:val="TableParagraph"/>
              <w:ind w:left="81"/>
              <w:rPr>
                <w:sz w:val="14"/>
              </w:rPr>
            </w:pPr>
            <w:r>
              <w:rPr>
                <w:sz w:val="14"/>
              </w:rPr>
              <w:t>None</w:t>
            </w:r>
          </w:p>
        </w:tc>
        <w:tc>
          <w:tcPr>
            <w:tcW w:w="979" w:type="dxa"/>
          </w:tcPr>
          <w:p>
            <w:pPr>
              <w:pStyle w:val="TableParagraph"/>
              <w:ind w:left="83" w:right="66"/>
              <w:rPr>
                <w:sz w:val="14"/>
              </w:rPr>
            </w:pPr>
            <w:r>
              <w:rPr>
                <w:sz w:val="14"/>
              </w:rPr>
              <w:t>None</w:t>
            </w:r>
          </w:p>
        </w:tc>
      </w:tr>
      <w:tr>
        <w:trPr>
          <w:trHeight w:val="170" w:hRule="atLeast"/>
        </w:trPr>
        <w:tc>
          <w:tcPr>
            <w:tcW w:w="765" w:type="dxa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790" w:type="dxa"/>
          </w:tcPr>
          <w:p>
            <w:pPr>
              <w:pStyle w:val="TableParagraph"/>
              <w:ind w:left="221" w:right="209"/>
              <w:rPr>
                <w:sz w:val="14"/>
              </w:rPr>
            </w:pPr>
            <w:r>
              <w:rPr>
                <w:sz w:val="14"/>
              </w:rPr>
              <w:t>&lt;5</w:t>
            </w:r>
          </w:p>
        </w:tc>
        <w:tc>
          <w:tcPr>
            <w:tcW w:w="864" w:type="dxa"/>
          </w:tcPr>
          <w:p>
            <w:pPr>
              <w:pStyle w:val="TableParagraph"/>
              <w:ind w:left="105" w:right="96"/>
              <w:rPr>
                <w:sz w:val="14"/>
              </w:rPr>
            </w:pPr>
            <w:r>
              <w:rPr>
                <w:sz w:val="14"/>
              </w:rPr>
              <w:t>Occasional</w:t>
            </w:r>
          </w:p>
        </w:tc>
        <w:tc>
          <w:tcPr>
            <w:tcW w:w="914" w:type="dxa"/>
          </w:tcPr>
          <w:p>
            <w:pPr>
              <w:pStyle w:val="TableParagraph"/>
              <w:ind w:left="83"/>
              <w:rPr>
                <w:sz w:val="14"/>
              </w:rPr>
            </w:pPr>
            <w:r>
              <w:rPr>
                <w:sz w:val="14"/>
              </w:rPr>
              <w:t>Occasional</w:t>
            </w:r>
          </w:p>
        </w:tc>
        <w:tc>
          <w:tcPr>
            <w:tcW w:w="979" w:type="dxa"/>
          </w:tcPr>
          <w:p>
            <w:pPr>
              <w:pStyle w:val="TableParagraph"/>
              <w:ind w:left="82" w:right="73"/>
              <w:rPr>
                <w:sz w:val="14"/>
              </w:rPr>
            </w:pPr>
            <w:r>
              <w:rPr>
                <w:sz w:val="14"/>
              </w:rPr>
              <w:t>Occasional</w:t>
            </w:r>
          </w:p>
        </w:tc>
      </w:tr>
      <w:tr>
        <w:trPr>
          <w:trHeight w:val="170" w:hRule="atLeast"/>
        </w:trPr>
        <w:tc>
          <w:tcPr>
            <w:tcW w:w="765" w:type="dxa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790" w:type="dxa"/>
          </w:tcPr>
          <w:p>
            <w:pPr>
              <w:pStyle w:val="TableParagraph"/>
              <w:ind w:left="216" w:right="211"/>
              <w:rPr>
                <w:sz w:val="14"/>
              </w:rPr>
            </w:pPr>
            <w:r>
              <w:rPr>
                <w:sz w:val="14"/>
              </w:rPr>
              <w:t>5-10</w:t>
            </w:r>
          </w:p>
        </w:tc>
        <w:tc>
          <w:tcPr>
            <w:tcW w:w="864" w:type="dxa"/>
          </w:tcPr>
          <w:p>
            <w:pPr>
              <w:pStyle w:val="TableParagraph"/>
              <w:ind w:left="96" w:right="96"/>
              <w:rPr>
                <w:sz w:val="14"/>
              </w:rPr>
            </w:pPr>
            <w:r>
              <w:rPr>
                <w:sz w:val="14"/>
              </w:rPr>
              <w:t>Daily</w:t>
            </w:r>
          </w:p>
        </w:tc>
        <w:tc>
          <w:tcPr>
            <w:tcW w:w="914" w:type="dxa"/>
          </w:tcPr>
          <w:p>
            <w:pPr>
              <w:pStyle w:val="TableParagraph"/>
              <w:ind w:left="75"/>
              <w:rPr>
                <w:sz w:val="14"/>
              </w:rPr>
            </w:pPr>
            <w:r>
              <w:rPr>
                <w:sz w:val="14"/>
              </w:rPr>
              <w:t>Daily</w:t>
            </w:r>
          </w:p>
        </w:tc>
        <w:tc>
          <w:tcPr>
            <w:tcW w:w="979" w:type="dxa"/>
          </w:tcPr>
          <w:p>
            <w:pPr>
              <w:pStyle w:val="TableParagraph"/>
              <w:ind w:left="74" w:right="73"/>
              <w:rPr>
                <w:sz w:val="14"/>
              </w:rPr>
            </w:pPr>
            <w:r>
              <w:rPr>
                <w:sz w:val="14"/>
              </w:rPr>
              <w:t>Daily</w:t>
            </w:r>
          </w:p>
        </w:tc>
      </w:tr>
      <w:tr>
        <w:trPr>
          <w:trHeight w:val="170" w:hRule="atLeast"/>
        </w:trPr>
        <w:tc>
          <w:tcPr>
            <w:tcW w:w="765" w:type="dxa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790" w:type="dxa"/>
          </w:tcPr>
          <w:p>
            <w:pPr>
              <w:pStyle w:val="TableParagraph"/>
              <w:ind w:left="221" w:right="210"/>
              <w:rPr>
                <w:sz w:val="14"/>
              </w:rPr>
            </w:pPr>
            <w:r>
              <w:rPr>
                <w:sz w:val="14"/>
              </w:rPr>
              <w:t>&gt;10</w:t>
            </w:r>
          </w:p>
        </w:tc>
        <w:tc>
          <w:tcPr>
            <w:tcW w:w="864" w:type="dxa"/>
          </w:tcPr>
          <w:p>
            <w:pPr>
              <w:pStyle w:val="TableParagraph"/>
              <w:ind w:left="100" w:right="96"/>
              <w:rPr>
                <w:sz w:val="14"/>
              </w:rPr>
            </w:pPr>
            <w:r>
              <w:rPr>
                <w:sz w:val="14"/>
              </w:rPr>
              <w:t>Each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meal</w:t>
            </w:r>
          </w:p>
        </w:tc>
        <w:tc>
          <w:tcPr>
            <w:tcW w:w="914" w:type="dxa"/>
          </w:tcPr>
          <w:p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Each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meal</w:t>
            </w:r>
          </w:p>
        </w:tc>
        <w:tc>
          <w:tcPr>
            <w:tcW w:w="979" w:type="dxa"/>
          </w:tcPr>
          <w:p>
            <w:pPr>
              <w:pStyle w:val="TableParagraph"/>
              <w:ind w:left="77" w:right="73"/>
              <w:rPr>
                <w:sz w:val="14"/>
              </w:rPr>
            </w:pPr>
            <w:r>
              <w:rPr>
                <w:sz w:val="14"/>
              </w:rPr>
              <w:t>Each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meal</w:t>
            </w:r>
          </w:p>
        </w:tc>
      </w:tr>
    </w:tbl>
    <w:p>
      <w:pPr>
        <w:pStyle w:val="BodyText"/>
        <w:spacing w:before="3"/>
        <w:ind w:left="0"/>
      </w:pPr>
    </w:p>
    <w:p>
      <w:pPr>
        <w:pStyle w:val="BodyText"/>
        <w:ind w:right="108" w:firstLine="720"/>
        <w:jc w:val="both"/>
      </w:pPr>
      <w:r>
        <w:rPr/>
        <w:t>Esophageal</w:t>
      </w:r>
      <w:r>
        <w:rPr>
          <w:spacing w:val="1"/>
        </w:rPr>
        <w:t> </w:t>
      </w:r>
      <w:r>
        <w:rPr/>
        <w:t>manometry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required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establish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diagnosis.</w:t>
      </w:r>
      <w:r>
        <w:rPr>
          <w:spacing w:val="1"/>
        </w:rPr>
        <w:t> </w:t>
      </w:r>
      <w:r>
        <w:rPr/>
        <w:t>Diagnostic</w:t>
      </w:r>
      <w:r>
        <w:rPr>
          <w:spacing w:val="1"/>
        </w:rPr>
        <w:t> </w:t>
      </w:r>
      <w:r>
        <w:rPr/>
        <w:t>manometric</w:t>
      </w:r>
      <w:r>
        <w:rPr>
          <w:spacing w:val="1"/>
        </w:rPr>
        <w:t> </w:t>
      </w:r>
      <w:r>
        <w:rPr/>
        <w:t>findings of achalasia are incomplete relaxation of the</w:t>
      </w:r>
      <w:r>
        <w:rPr>
          <w:spacing w:val="-43"/>
        </w:rPr>
        <w:t> </w:t>
      </w:r>
      <w:r>
        <w:rPr/>
        <w:t>lower esophageal sphincter and</w:t>
      </w:r>
      <w:r>
        <w:rPr>
          <w:spacing w:val="1"/>
        </w:rPr>
        <w:t> </w:t>
      </w:r>
      <w:r>
        <w:rPr/>
        <w:t>aperistalsis 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distal two-thirds of the esophagus. In patients with</w:t>
      </w:r>
      <w:r>
        <w:rPr>
          <w:spacing w:val="1"/>
        </w:rPr>
        <w:t> </w:t>
      </w:r>
      <w:r>
        <w:rPr/>
        <w:t>equivocal</w:t>
      </w:r>
      <w:r>
        <w:rPr>
          <w:spacing w:val="1"/>
        </w:rPr>
        <w:t> </w:t>
      </w:r>
      <w:r>
        <w:rPr/>
        <w:t>esophageal</w:t>
      </w:r>
      <w:r>
        <w:rPr>
          <w:spacing w:val="1"/>
        </w:rPr>
        <w:t> </w:t>
      </w:r>
      <w:r>
        <w:rPr/>
        <w:t>manometry</w:t>
      </w:r>
      <w:r>
        <w:rPr>
          <w:spacing w:val="1"/>
        </w:rPr>
        <w:t> </w:t>
      </w:r>
      <w:r>
        <w:rPr/>
        <w:t>results</w:t>
      </w:r>
      <w:r>
        <w:rPr>
          <w:spacing w:val="1"/>
        </w:rPr>
        <w:t> </w:t>
      </w:r>
      <w:r>
        <w:rPr/>
        <w:t>(eg,</w:t>
      </w:r>
      <w:r>
        <w:rPr>
          <w:spacing w:val="1"/>
        </w:rPr>
        <w:t> </w:t>
      </w:r>
      <w:r>
        <w:rPr/>
        <w:t>incomplete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relaxation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preserved</w:t>
      </w:r>
      <w:r>
        <w:rPr>
          <w:spacing w:val="1"/>
        </w:rPr>
        <w:t> </w:t>
      </w:r>
      <w:r>
        <w:rPr/>
        <w:t>peristalsis;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complete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relaxation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aperistalsis), barium esophagram can help to assess</w:t>
      </w:r>
      <w:r>
        <w:rPr>
          <w:spacing w:val="1"/>
        </w:rPr>
        <w:t> </w:t>
      </w:r>
      <w:r>
        <w:rPr/>
        <w:t>esophageal emptying and esophagogastric junction</w:t>
      </w:r>
      <w:r>
        <w:rPr>
          <w:spacing w:val="1"/>
        </w:rPr>
        <w:t> </w:t>
      </w:r>
      <w:r>
        <w:rPr/>
        <w:t>morphology.</w:t>
      </w:r>
      <w:r>
        <w:rPr>
          <w:spacing w:val="1"/>
        </w:rPr>
        <w:t> </w:t>
      </w:r>
      <w:r>
        <w:rPr/>
        <w:t>Endoscopic</w:t>
      </w:r>
      <w:r>
        <w:rPr>
          <w:spacing w:val="1"/>
        </w:rPr>
        <w:t> </w:t>
      </w:r>
      <w:r>
        <w:rPr/>
        <w:t>evaluation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upper</w:t>
      </w:r>
      <w:r>
        <w:rPr>
          <w:spacing w:val="1"/>
        </w:rPr>
        <w:t> </w:t>
      </w:r>
      <w:r>
        <w:rPr/>
        <w:t>gastrointestinal endoscopy should be performed in</w:t>
      </w:r>
      <w:r>
        <w:rPr>
          <w:spacing w:val="1"/>
        </w:rPr>
        <w:t> </w:t>
      </w:r>
      <w:r>
        <w:rPr/>
        <w:t>patients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suspected</w:t>
      </w:r>
      <w:r>
        <w:rPr>
          <w:spacing w:val="1"/>
        </w:rPr>
        <w:t> </w:t>
      </w:r>
      <w:r>
        <w:rPr/>
        <w:t>achalasia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exclude</w:t>
      </w:r>
      <w:r>
        <w:rPr>
          <w:spacing w:val="1"/>
        </w:rPr>
        <w:t> </w:t>
      </w:r>
      <w:r>
        <w:rPr/>
        <w:t>a</w:t>
      </w:r>
      <w:r>
        <w:rPr>
          <w:spacing w:val="-43"/>
        </w:rPr>
        <w:t> </w:t>
      </w:r>
      <w:r>
        <w:rPr/>
        <w:t>malignancy at the esophagogastric junction that can</w:t>
      </w:r>
      <w:r>
        <w:rPr>
          <w:spacing w:val="1"/>
        </w:rPr>
        <w:t> </w:t>
      </w:r>
      <w:r>
        <w:rPr/>
        <w:t>mimic achalasia.</w:t>
      </w:r>
      <w:r>
        <w:rPr>
          <w:vertAlign w:val="superscript"/>
        </w:rPr>
        <w:t>4</w:t>
      </w:r>
      <w:r>
        <w:rPr>
          <w:spacing w:val="1"/>
          <w:vertAlign w:val="baseline"/>
        </w:rPr>
        <w:t> </w:t>
      </w:r>
      <w:r>
        <w:rPr>
          <w:vertAlign w:val="baseline"/>
        </w:rPr>
        <w:t>Our patient underwent</w:t>
      </w:r>
      <w:r>
        <w:rPr>
          <w:spacing w:val="1"/>
          <w:vertAlign w:val="baseline"/>
        </w:rPr>
        <w:t> </w:t>
      </w:r>
      <w:r>
        <w:rPr>
          <w:vertAlign w:val="baseline"/>
        </w:rPr>
        <w:t>all</w:t>
      </w:r>
      <w:r>
        <w:rPr>
          <w:spacing w:val="1"/>
          <w:vertAlign w:val="baseline"/>
        </w:rPr>
        <w:t> </w:t>
      </w:r>
      <w:r>
        <w:rPr>
          <w:vertAlign w:val="baseline"/>
        </w:rPr>
        <w:t>these</w:t>
      </w:r>
      <w:r>
        <w:rPr>
          <w:spacing w:val="1"/>
          <w:vertAlign w:val="baseline"/>
        </w:rPr>
        <w:t> </w:t>
      </w:r>
      <w:r>
        <w:rPr>
          <w:vertAlign w:val="baseline"/>
        </w:rPr>
        <w:t>procedures,</w:t>
      </w:r>
      <w:r>
        <w:rPr>
          <w:spacing w:val="1"/>
          <w:vertAlign w:val="baseline"/>
        </w:rPr>
        <w:t> </w:t>
      </w:r>
      <w:r>
        <w:rPr>
          <w:vertAlign w:val="baseline"/>
        </w:rPr>
        <w:t>eventually</w:t>
      </w:r>
      <w:r>
        <w:rPr>
          <w:spacing w:val="1"/>
          <w:vertAlign w:val="baseline"/>
        </w:rPr>
        <w:t> </w:t>
      </w:r>
      <w:r>
        <w:rPr>
          <w:vertAlign w:val="baseline"/>
        </w:rPr>
        <w:t>leading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diagnosis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achalasia.</w:t>
      </w:r>
      <w:r>
        <w:rPr>
          <w:spacing w:val="-11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patient’s</w:t>
      </w:r>
      <w:r>
        <w:rPr>
          <w:spacing w:val="-9"/>
          <w:vertAlign w:val="baseline"/>
        </w:rPr>
        <w:t> </w:t>
      </w:r>
      <w:r>
        <w:rPr>
          <w:vertAlign w:val="baseline"/>
        </w:rPr>
        <w:t>endoscopy</w:t>
      </w:r>
      <w:r>
        <w:rPr>
          <w:spacing w:val="-10"/>
          <w:vertAlign w:val="baseline"/>
        </w:rPr>
        <w:t> </w:t>
      </w:r>
      <w:r>
        <w:rPr>
          <w:vertAlign w:val="baseline"/>
        </w:rPr>
        <w:t>was</w:t>
      </w:r>
      <w:r>
        <w:rPr>
          <w:spacing w:val="-9"/>
          <w:vertAlign w:val="baseline"/>
        </w:rPr>
        <w:t> </w:t>
      </w:r>
      <w:r>
        <w:rPr>
          <w:vertAlign w:val="baseline"/>
        </w:rPr>
        <w:t>normal,</w:t>
      </w:r>
      <w:r>
        <w:rPr>
          <w:spacing w:val="-10"/>
          <w:vertAlign w:val="baseline"/>
        </w:rPr>
        <w:t> </w:t>
      </w:r>
      <w:r>
        <w:rPr>
          <w:vertAlign w:val="baseline"/>
        </w:rPr>
        <w:t>ruling</w:t>
      </w:r>
      <w:r>
        <w:rPr>
          <w:spacing w:val="-43"/>
          <w:vertAlign w:val="baseline"/>
        </w:rPr>
        <w:t> </w:t>
      </w:r>
      <w:r>
        <w:rPr>
          <w:vertAlign w:val="baseline"/>
        </w:rPr>
        <w:t>out pseudoachalasia from a malignancy. UGIS with</w:t>
      </w:r>
      <w:r>
        <w:rPr>
          <w:spacing w:val="1"/>
          <w:vertAlign w:val="baseline"/>
        </w:rPr>
        <w:t> </w:t>
      </w:r>
      <w:r>
        <w:rPr>
          <w:vertAlign w:val="baseline"/>
        </w:rPr>
        <w:t>barium contrast showed the classic “bird’s beak” sign</w:t>
      </w:r>
      <w:r>
        <w:rPr>
          <w:spacing w:val="-43"/>
          <w:vertAlign w:val="baseline"/>
        </w:rPr>
        <w:t> </w:t>
      </w:r>
      <w:r>
        <w:rPr>
          <w:vertAlign w:val="baseline"/>
        </w:rPr>
        <w:t>indicative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achalasia,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diagnosis</w:t>
      </w:r>
      <w:r>
        <w:rPr>
          <w:spacing w:val="1"/>
          <w:vertAlign w:val="baseline"/>
        </w:rPr>
        <w:t> </w:t>
      </w:r>
      <w:r>
        <w:rPr>
          <w:vertAlign w:val="baseline"/>
        </w:rPr>
        <w:t>was</w:t>
      </w:r>
      <w:r>
        <w:rPr>
          <w:spacing w:val="1"/>
          <w:vertAlign w:val="baseline"/>
        </w:rPr>
        <w:t> </w:t>
      </w:r>
      <w:r>
        <w:rPr>
          <w:vertAlign w:val="baseline"/>
        </w:rPr>
        <w:t>confirmed by manometry showing high resting LES</w:t>
      </w:r>
      <w:r>
        <w:rPr>
          <w:spacing w:val="1"/>
          <w:vertAlign w:val="baseline"/>
        </w:rPr>
        <w:t> </w:t>
      </w:r>
      <w:r>
        <w:rPr>
          <w:vertAlign w:val="baseline"/>
        </w:rPr>
        <w:t>pressure</w:t>
      </w:r>
      <w:r>
        <w:rPr>
          <w:spacing w:val="-8"/>
          <w:vertAlign w:val="baseline"/>
        </w:rPr>
        <w:t> </w:t>
      </w:r>
      <w:r>
        <w:rPr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vertAlign w:val="baseline"/>
        </w:rPr>
        <w:t>absent</w:t>
      </w:r>
      <w:r>
        <w:rPr>
          <w:spacing w:val="-9"/>
          <w:vertAlign w:val="baseline"/>
        </w:rPr>
        <w:t> </w:t>
      </w:r>
      <w:r>
        <w:rPr>
          <w:vertAlign w:val="baseline"/>
        </w:rPr>
        <w:t>esophageal</w:t>
      </w:r>
      <w:r>
        <w:rPr>
          <w:spacing w:val="-10"/>
          <w:vertAlign w:val="baseline"/>
        </w:rPr>
        <w:t> </w:t>
      </w:r>
      <w:r>
        <w:rPr>
          <w:vertAlign w:val="baseline"/>
        </w:rPr>
        <w:t>peristalsis</w:t>
      </w:r>
      <w:r>
        <w:rPr>
          <w:spacing w:val="-7"/>
          <w:vertAlign w:val="baseline"/>
        </w:rPr>
        <w:t> </w:t>
      </w:r>
      <w:r>
        <w:rPr>
          <w:vertAlign w:val="baseline"/>
        </w:rPr>
        <w:t>consistent</w:t>
      </w:r>
    </w:p>
    <w:p>
      <w:pPr>
        <w:spacing w:after="0"/>
        <w:jc w:val="both"/>
        <w:sectPr>
          <w:pgSz w:w="12240" w:h="15840"/>
          <w:pgMar w:header="0" w:footer="769" w:top="1380" w:bottom="960" w:left="1300" w:right="1320"/>
          <w:cols w:num="2" w:equalWidth="0">
            <w:col w:w="4510" w:space="527"/>
            <w:col w:w="4583"/>
          </w:cols>
        </w:sectPr>
      </w:pPr>
    </w:p>
    <w:p>
      <w:pPr>
        <w:pStyle w:val="BodyText"/>
        <w:spacing w:before="35"/>
        <w:jc w:val="both"/>
      </w:pPr>
      <w:r>
        <w:rPr/>
        <w:t>with</w:t>
      </w:r>
      <w:r>
        <w:rPr>
          <w:spacing w:val="-4"/>
        </w:rPr>
        <w:t> </w:t>
      </w:r>
      <w:r>
        <w:rPr/>
        <w:t>achalasia.</w:t>
      </w:r>
    </w:p>
    <w:p>
      <w:pPr>
        <w:pStyle w:val="BodyText"/>
        <w:spacing w:before="1"/>
        <w:ind w:right="43" w:firstLine="720"/>
        <w:jc w:val="both"/>
      </w:pPr>
      <w:r>
        <w:rPr/>
        <w:t>The</w:t>
      </w:r>
      <w:r>
        <w:rPr>
          <w:spacing w:val="1"/>
        </w:rPr>
        <w:t> </w:t>
      </w:r>
      <w:r>
        <w:rPr/>
        <w:t>diagnosis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achalasia</w:t>
      </w:r>
      <w:r>
        <w:rPr>
          <w:spacing w:val="1"/>
        </w:rPr>
        <w:t> </w:t>
      </w:r>
      <w:r>
        <w:rPr/>
        <w:t>always</w:t>
      </w:r>
      <w:r>
        <w:rPr>
          <w:spacing w:val="1"/>
        </w:rPr>
        <w:t> </w:t>
      </w:r>
      <w:r>
        <w:rPr/>
        <w:t>implies</w:t>
      </w:r>
      <w:r>
        <w:rPr>
          <w:spacing w:val="1"/>
        </w:rPr>
        <w:t> </w:t>
      </w:r>
      <w:r>
        <w:rPr/>
        <w:t>therapy. Goal of different therapies available for the</w:t>
      </w:r>
      <w:r>
        <w:rPr>
          <w:spacing w:val="1"/>
        </w:rPr>
        <w:t> </w:t>
      </w:r>
      <w:r>
        <w:rPr/>
        <w:t>treatment of achalasia is to reduce the LES pressure</w:t>
      </w:r>
      <w:r>
        <w:rPr>
          <w:spacing w:val="1"/>
        </w:rPr>
        <w:t> </w:t>
      </w:r>
      <w:r>
        <w:rPr/>
        <w:t>and improve bolus flow through the esophagogastric</w:t>
      </w:r>
      <w:r>
        <w:rPr>
          <w:spacing w:val="-43"/>
        </w:rPr>
        <w:t> </w:t>
      </w:r>
      <w:r>
        <w:rPr/>
        <w:t>junction. Pharmacological treatment options, such as</w:t>
      </w:r>
      <w:r>
        <w:rPr>
          <w:spacing w:val="-43"/>
        </w:rPr>
        <w:t> </w:t>
      </w:r>
      <w:r>
        <w:rPr/>
        <w:t>calcium channel blockers or endoscopic botulinum</w:t>
      </w:r>
      <w:r>
        <w:rPr>
          <w:spacing w:val="1"/>
        </w:rPr>
        <w:t> </w:t>
      </w:r>
      <w:r>
        <w:rPr/>
        <w:t>toxin</w:t>
      </w:r>
      <w:r>
        <w:rPr>
          <w:spacing w:val="1"/>
        </w:rPr>
        <w:t> </w:t>
      </w:r>
      <w:r>
        <w:rPr/>
        <w:t>injections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rarely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pediatric</w:t>
      </w:r>
      <w:r>
        <w:rPr>
          <w:spacing w:val="1"/>
        </w:rPr>
        <w:t> </w:t>
      </w:r>
      <w:r>
        <w:rPr/>
        <w:t>population</w:t>
      </w:r>
      <w:r>
        <w:rPr>
          <w:spacing w:val="1"/>
        </w:rPr>
        <w:t> </w:t>
      </w:r>
      <w:r>
        <w:rPr/>
        <w:t>because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short-term</w:t>
      </w:r>
      <w:r>
        <w:rPr>
          <w:spacing w:val="1"/>
        </w:rPr>
        <w:t> </w:t>
      </w:r>
      <w:r>
        <w:rPr/>
        <w:t>effectiveness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potential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calcium</w:t>
      </w:r>
      <w:r>
        <w:rPr>
          <w:spacing w:val="1"/>
        </w:rPr>
        <w:t> </w:t>
      </w:r>
      <w:r>
        <w:rPr/>
        <w:t>channel</w:t>
      </w:r>
      <w:r>
        <w:rPr>
          <w:spacing w:val="-43"/>
        </w:rPr>
        <w:t> </w:t>
      </w:r>
      <w:r>
        <w:rPr/>
        <w:t>blockers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side</w:t>
      </w:r>
      <w:r>
        <w:rPr>
          <w:spacing w:val="1"/>
        </w:rPr>
        <w:t> </w:t>
      </w:r>
      <w:r>
        <w:rPr/>
        <w:t>effects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headache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dizziness.</w:t>
      </w:r>
      <w:r>
        <w:rPr>
          <w:vertAlign w:val="superscript"/>
        </w:rPr>
        <w:t>11</w:t>
      </w:r>
      <w:r>
        <w:rPr>
          <w:vertAlign w:val="baseline"/>
        </w:rPr>
        <w:t> To date, pneumatic balloon dilation and</w:t>
      </w:r>
      <w:r>
        <w:rPr>
          <w:spacing w:val="1"/>
          <w:vertAlign w:val="baseline"/>
        </w:rPr>
        <w:t> </w:t>
      </w:r>
      <w:r>
        <w:rPr>
          <w:vertAlign w:val="baseline"/>
        </w:rPr>
        <w:t>Heller’s myotomy are considered the most effective</w:t>
      </w:r>
      <w:r>
        <w:rPr>
          <w:spacing w:val="1"/>
          <w:vertAlign w:val="baseline"/>
        </w:rPr>
        <w:t> </w:t>
      </w:r>
      <w:r>
        <w:rPr>
          <w:vertAlign w:val="baseline"/>
        </w:rPr>
        <w:t>therapeutic</w:t>
      </w:r>
      <w:r>
        <w:rPr>
          <w:spacing w:val="1"/>
          <w:vertAlign w:val="baseline"/>
        </w:rPr>
        <w:t> </w:t>
      </w:r>
      <w:r>
        <w:rPr>
          <w:vertAlign w:val="baseline"/>
        </w:rPr>
        <w:t>options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children.</w:t>
      </w:r>
      <w:r>
        <w:rPr>
          <w:spacing w:val="1"/>
          <w:vertAlign w:val="baseline"/>
        </w:rPr>
        <w:t> </w:t>
      </w:r>
      <w:r>
        <w:rPr>
          <w:vertAlign w:val="baseline"/>
        </w:rPr>
        <w:t>These</w:t>
      </w:r>
      <w:r>
        <w:rPr>
          <w:spacing w:val="1"/>
          <w:vertAlign w:val="baseline"/>
        </w:rPr>
        <w:t> </w:t>
      </w:r>
      <w:r>
        <w:rPr>
          <w:vertAlign w:val="baseline"/>
        </w:rPr>
        <w:t>therapies</w:t>
      </w:r>
      <w:r>
        <w:rPr>
          <w:spacing w:val="1"/>
          <w:vertAlign w:val="baseline"/>
        </w:rPr>
        <w:t> </w:t>
      </w:r>
      <w:r>
        <w:rPr>
          <w:vertAlign w:val="baseline"/>
        </w:rPr>
        <w:t>mechanically reduce the LES pressure by destruction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of</w:t>
      </w:r>
      <w:r>
        <w:rPr>
          <w:spacing w:val="-12"/>
          <w:vertAlign w:val="baseline"/>
        </w:rPr>
        <w:t> </w:t>
      </w:r>
      <w:r>
        <w:rPr>
          <w:spacing w:val="-1"/>
          <w:vertAlign w:val="baseline"/>
        </w:rPr>
        <w:t>LES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muscle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fibers,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either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by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stretching</w:t>
      </w:r>
      <w:r>
        <w:rPr>
          <w:spacing w:val="-9"/>
          <w:vertAlign w:val="baseline"/>
        </w:rPr>
        <w:t> </w:t>
      </w:r>
      <w:r>
        <w:rPr>
          <w:spacing w:val="-1"/>
          <w:vertAlign w:val="baseline"/>
        </w:rPr>
        <w:t>or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cutting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the</w:t>
      </w:r>
      <w:r>
        <w:rPr>
          <w:spacing w:val="-43"/>
          <w:vertAlign w:val="baseline"/>
        </w:rPr>
        <w:t> </w:t>
      </w:r>
      <w:r>
        <w:rPr>
          <w:vertAlign w:val="baseline"/>
        </w:rPr>
        <w:t>LES.</w:t>
      </w:r>
      <w:r>
        <w:rPr>
          <w:spacing w:val="1"/>
          <w:vertAlign w:val="baseline"/>
        </w:rPr>
        <w:t> </w:t>
      </w:r>
      <w:r>
        <w:rPr>
          <w:vertAlign w:val="baseline"/>
        </w:rPr>
        <w:t>Postoperative</w:t>
      </w:r>
      <w:r>
        <w:rPr>
          <w:spacing w:val="1"/>
          <w:vertAlign w:val="baseline"/>
        </w:rPr>
        <w:t> </w:t>
      </w:r>
      <w:r>
        <w:rPr>
          <w:vertAlign w:val="baseline"/>
        </w:rPr>
        <w:t>GERD</w:t>
      </w:r>
      <w:r>
        <w:rPr>
          <w:spacing w:val="1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frequently</w:t>
      </w:r>
      <w:r>
        <w:rPr>
          <w:spacing w:val="1"/>
          <w:vertAlign w:val="baseline"/>
        </w:rPr>
        <w:t> </w:t>
      </w:r>
      <w:r>
        <w:rPr>
          <w:vertAlign w:val="baseline"/>
        </w:rPr>
        <w:t>reported</w:t>
      </w:r>
      <w:r>
        <w:rPr>
          <w:spacing w:val="1"/>
          <w:vertAlign w:val="baseline"/>
        </w:rPr>
        <w:t> </w:t>
      </w:r>
      <w:r>
        <w:rPr>
          <w:vertAlign w:val="baseline"/>
        </w:rPr>
        <w:t>complication after Heller’s Myotomy, and therefore</w:t>
      </w:r>
      <w:r>
        <w:rPr>
          <w:spacing w:val="1"/>
          <w:vertAlign w:val="baseline"/>
        </w:rPr>
        <w:t> </w:t>
      </w:r>
      <w:r>
        <w:rPr>
          <w:vertAlign w:val="baseline"/>
        </w:rPr>
        <w:t>this procedure is most often combined with a partial</w:t>
      </w:r>
      <w:r>
        <w:rPr>
          <w:spacing w:val="1"/>
          <w:vertAlign w:val="baseline"/>
        </w:rPr>
        <w:t> </w:t>
      </w:r>
      <w:r>
        <w:rPr>
          <w:vertAlign w:val="baseline"/>
        </w:rPr>
        <w:t>fundoplication.</w:t>
      </w:r>
      <w:r>
        <w:rPr>
          <w:vertAlign w:val="superscript"/>
        </w:rPr>
        <w:t>4</w:t>
      </w:r>
      <w:r>
        <w:rPr>
          <w:spacing w:val="1"/>
          <w:vertAlign w:val="baseline"/>
        </w:rPr>
        <w:t> </w:t>
      </w:r>
      <w:r>
        <w:rPr>
          <w:vertAlign w:val="baseline"/>
        </w:rPr>
        <w:t>Our</w:t>
      </w:r>
      <w:r>
        <w:rPr>
          <w:spacing w:val="1"/>
          <w:vertAlign w:val="baseline"/>
        </w:rPr>
        <w:t> </w:t>
      </w:r>
      <w:r>
        <w:rPr>
          <w:vertAlign w:val="baseline"/>
        </w:rPr>
        <w:t>patient</w:t>
      </w:r>
      <w:r>
        <w:rPr>
          <w:spacing w:val="1"/>
          <w:vertAlign w:val="baseline"/>
        </w:rPr>
        <w:t> </w:t>
      </w:r>
      <w:r>
        <w:rPr>
          <w:vertAlign w:val="baseline"/>
        </w:rPr>
        <w:t>underwent</w:t>
      </w:r>
      <w:r>
        <w:rPr>
          <w:spacing w:val="1"/>
          <w:vertAlign w:val="baseline"/>
        </w:rPr>
        <w:t> </w:t>
      </w:r>
      <w:r>
        <w:rPr>
          <w:vertAlign w:val="baseline"/>
        </w:rPr>
        <w:t>Heller’s</w:t>
      </w:r>
      <w:r>
        <w:rPr>
          <w:spacing w:val="1"/>
          <w:vertAlign w:val="baseline"/>
        </w:rPr>
        <w:t> </w:t>
      </w:r>
      <w:r>
        <w:rPr>
          <w:vertAlign w:val="baseline"/>
        </w:rPr>
        <w:t>Myotomy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1"/>
          <w:vertAlign w:val="baseline"/>
        </w:rPr>
        <w:t> </w:t>
      </w:r>
      <w:r>
        <w:rPr>
          <w:vertAlign w:val="baseline"/>
        </w:rPr>
        <w:t>Dor</w:t>
      </w:r>
      <w:r>
        <w:rPr>
          <w:spacing w:val="1"/>
          <w:vertAlign w:val="baseline"/>
        </w:rPr>
        <w:t> </w:t>
      </w:r>
      <w:r>
        <w:rPr>
          <w:vertAlign w:val="baseline"/>
        </w:rPr>
        <w:t>(or</w:t>
      </w:r>
      <w:r>
        <w:rPr>
          <w:spacing w:val="1"/>
          <w:vertAlign w:val="baseline"/>
        </w:rPr>
        <w:t> </w:t>
      </w:r>
      <w:r>
        <w:rPr>
          <w:vertAlign w:val="baseline"/>
        </w:rPr>
        <w:t>Partial</w:t>
      </w:r>
      <w:r>
        <w:rPr>
          <w:spacing w:val="1"/>
          <w:vertAlign w:val="baseline"/>
        </w:rPr>
        <w:t> </w:t>
      </w:r>
      <w:r>
        <w:rPr>
          <w:vertAlign w:val="baseline"/>
        </w:rPr>
        <w:t>Anterior)</w:t>
      </w:r>
      <w:r>
        <w:rPr>
          <w:spacing w:val="-43"/>
          <w:vertAlign w:val="baseline"/>
        </w:rPr>
        <w:t> </w:t>
      </w:r>
      <w:r>
        <w:rPr>
          <w:spacing w:val="-1"/>
          <w:vertAlign w:val="baseline"/>
        </w:rPr>
        <w:t>Fundoplication.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Symptom</w:t>
      </w:r>
      <w:r>
        <w:rPr>
          <w:spacing w:val="-9"/>
          <w:vertAlign w:val="baseline"/>
        </w:rPr>
        <w:t> </w:t>
      </w:r>
      <w:r>
        <w:rPr>
          <w:vertAlign w:val="baseline"/>
        </w:rPr>
        <w:t>improvement</w:t>
      </w:r>
      <w:r>
        <w:rPr>
          <w:spacing w:val="-11"/>
          <w:vertAlign w:val="baseline"/>
        </w:rPr>
        <w:t> </w:t>
      </w:r>
      <w:r>
        <w:rPr>
          <w:vertAlign w:val="baseline"/>
        </w:rPr>
        <w:t>is</w:t>
      </w:r>
      <w:r>
        <w:rPr>
          <w:spacing w:val="-7"/>
          <w:vertAlign w:val="baseline"/>
        </w:rPr>
        <w:t> </w:t>
      </w:r>
      <w:r>
        <w:rPr>
          <w:vertAlign w:val="baseline"/>
        </w:rPr>
        <w:t>reported</w:t>
      </w:r>
      <w:r>
        <w:rPr>
          <w:spacing w:val="-8"/>
          <w:vertAlign w:val="baseline"/>
        </w:rPr>
        <w:t> </w:t>
      </w:r>
      <w:r>
        <w:rPr>
          <w:vertAlign w:val="baseline"/>
        </w:rPr>
        <w:t>in</w:t>
      </w:r>
      <w:r>
        <w:rPr>
          <w:spacing w:val="-43"/>
          <w:vertAlign w:val="baseline"/>
        </w:rPr>
        <w:t> </w:t>
      </w:r>
      <w:r>
        <w:rPr>
          <w:vertAlign w:val="baseline"/>
        </w:rPr>
        <w:t>an</w:t>
      </w:r>
      <w:r>
        <w:rPr>
          <w:spacing w:val="1"/>
          <w:vertAlign w:val="baseline"/>
        </w:rPr>
        <w:t> </w:t>
      </w:r>
      <w:r>
        <w:rPr>
          <w:vertAlign w:val="baseline"/>
        </w:rPr>
        <w:t>average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83%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patients</w:t>
      </w:r>
      <w:r>
        <w:rPr>
          <w:spacing w:val="1"/>
          <w:vertAlign w:val="baseline"/>
        </w:rPr>
        <w:t> </w:t>
      </w:r>
      <w:r>
        <w:rPr>
          <w:vertAlign w:val="baseline"/>
        </w:rPr>
        <w:t>undergoing</w:t>
      </w:r>
      <w:r>
        <w:rPr>
          <w:spacing w:val="1"/>
          <w:vertAlign w:val="baseline"/>
        </w:rPr>
        <w:t> </w:t>
      </w:r>
      <w:r>
        <w:rPr>
          <w:vertAlign w:val="baseline"/>
        </w:rPr>
        <w:t>transabdominal</w:t>
      </w:r>
      <w:r>
        <w:rPr>
          <w:spacing w:val="1"/>
          <w:vertAlign w:val="baseline"/>
        </w:rPr>
        <w:t> </w:t>
      </w:r>
      <w:r>
        <w:rPr>
          <w:vertAlign w:val="baseline"/>
        </w:rPr>
        <w:t>Heller</w:t>
      </w:r>
      <w:r>
        <w:rPr>
          <w:spacing w:val="1"/>
          <w:vertAlign w:val="baseline"/>
        </w:rPr>
        <w:t> </w:t>
      </w:r>
      <w:r>
        <w:rPr>
          <w:vertAlign w:val="baseline"/>
        </w:rPr>
        <w:t>Myotomy,</w:t>
      </w:r>
      <w:r>
        <w:rPr>
          <w:spacing w:val="1"/>
          <w:vertAlign w:val="baseline"/>
        </w:rPr>
        <w:t> </w:t>
      </w:r>
      <w:r>
        <w:rPr>
          <w:vertAlign w:val="baseline"/>
        </w:rPr>
        <w:t>pointing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an</w:t>
      </w:r>
      <w:r>
        <w:rPr>
          <w:spacing w:val="1"/>
          <w:vertAlign w:val="baseline"/>
        </w:rPr>
        <w:t> </w:t>
      </w:r>
      <w:r>
        <w:rPr>
          <w:vertAlign w:val="baseline"/>
        </w:rPr>
        <w:t>expected</w:t>
      </w:r>
      <w:r>
        <w:rPr>
          <w:spacing w:val="-3"/>
          <w:vertAlign w:val="baseline"/>
        </w:rPr>
        <w:t> </w:t>
      </w:r>
      <w:r>
        <w:rPr>
          <w:vertAlign w:val="baseline"/>
        </w:rPr>
        <w:t>favorable</w:t>
      </w:r>
      <w:r>
        <w:rPr>
          <w:spacing w:val="-2"/>
          <w:vertAlign w:val="baseline"/>
        </w:rPr>
        <w:t> </w:t>
      </w:r>
      <w:r>
        <w:rPr>
          <w:vertAlign w:val="baseline"/>
        </w:rPr>
        <w:t>outcome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patient.</w:t>
      </w:r>
      <w:r>
        <w:rPr>
          <w:vertAlign w:val="superscript"/>
        </w:rPr>
        <w:t>13</w:t>
      </w:r>
    </w:p>
    <w:p>
      <w:pPr>
        <w:pStyle w:val="BodyText"/>
        <w:spacing w:before="2"/>
        <w:ind w:right="42" w:firstLine="720"/>
        <w:jc w:val="both"/>
      </w:pPr>
      <w:r>
        <w:rPr/>
        <w:t>Despite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effectiveness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currently</w:t>
      </w:r>
      <w:r>
        <w:rPr>
          <w:spacing w:val="-43"/>
        </w:rPr>
        <w:t> </w:t>
      </w:r>
      <w:r>
        <w:rPr>
          <w:spacing w:val="-1"/>
        </w:rPr>
        <w:t>available</w:t>
      </w:r>
      <w:r>
        <w:rPr>
          <w:spacing w:val="-9"/>
        </w:rPr>
        <w:t> </w:t>
      </w:r>
      <w:r>
        <w:rPr>
          <w:spacing w:val="-1"/>
        </w:rPr>
        <w:t>therapies</w:t>
      </w:r>
      <w:r>
        <w:rPr>
          <w:spacing w:val="-8"/>
        </w:rPr>
        <w:t> </w:t>
      </w:r>
      <w:r>
        <w:rPr/>
        <w:t>for</w:t>
      </w:r>
      <w:r>
        <w:rPr>
          <w:spacing w:val="-5"/>
        </w:rPr>
        <w:t> </w:t>
      </w:r>
      <w:r>
        <w:rPr/>
        <w:t>achalasia,</w:t>
      </w:r>
      <w:r>
        <w:rPr>
          <w:spacing w:val="-4"/>
        </w:rPr>
        <w:t> </w:t>
      </w:r>
      <w:r>
        <w:rPr/>
        <w:t>2–5%</w:t>
      </w:r>
      <w:r>
        <w:rPr>
          <w:spacing w:val="-8"/>
        </w:rPr>
        <w:t> </w:t>
      </w:r>
      <w:r>
        <w:rPr/>
        <w:t>of</w:t>
      </w:r>
      <w:r>
        <w:rPr>
          <w:spacing w:val="-11"/>
        </w:rPr>
        <w:t> </w:t>
      </w:r>
      <w:r>
        <w:rPr/>
        <w:t>patients</w:t>
      </w:r>
      <w:r>
        <w:rPr>
          <w:spacing w:val="-7"/>
        </w:rPr>
        <w:t> </w:t>
      </w:r>
      <w:r>
        <w:rPr/>
        <w:t>are</w:t>
      </w:r>
      <w:r>
        <w:rPr>
          <w:spacing w:val="-43"/>
        </w:rPr>
        <w:t> </w:t>
      </w:r>
      <w:r>
        <w:rPr/>
        <w:t>noted to develop what is called “end-stage” disease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massively</w:t>
      </w:r>
      <w:r>
        <w:rPr>
          <w:spacing w:val="1"/>
        </w:rPr>
        <w:t> </w:t>
      </w:r>
      <w:r>
        <w:rPr/>
        <w:t>dilated</w:t>
      </w:r>
      <w:r>
        <w:rPr>
          <w:spacing w:val="1"/>
        </w:rPr>
        <w:t> </w:t>
      </w:r>
      <w:r>
        <w:rPr/>
        <w:t>esophagus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recurrent</w:t>
      </w:r>
      <w:r>
        <w:rPr>
          <w:spacing w:val="-43"/>
        </w:rPr>
        <w:t> </w:t>
      </w:r>
      <w:r>
        <w:rPr/>
        <w:t>symptoms. In this group of patients, esophagectomy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reconstruction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/>
        <w:t>performed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reasonable outcomes. This is unlikely to occur in the</w:t>
      </w:r>
      <w:r>
        <w:rPr>
          <w:spacing w:val="1"/>
        </w:rPr>
        <w:t> </w:t>
      </w:r>
      <w:r>
        <w:rPr/>
        <w:t>pediatric</w:t>
      </w:r>
      <w:r>
        <w:rPr>
          <w:spacing w:val="-7"/>
        </w:rPr>
        <w:t> </w:t>
      </w:r>
      <w:r>
        <w:rPr/>
        <w:t>age</w:t>
      </w:r>
      <w:r>
        <w:rPr>
          <w:spacing w:val="-6"/>
        </w:rPr>
        <w:t> </w:t>
      </w:r>
      <w:r>
        <w:rPr/>
        <w:t>group,</w:t>
      </w:r>
      <w:r>
        <w:rPr>
          <w:spacing w:val="-7"/>
        </w:rPr>
        <w:t> </w:t>
      </w:r>
      <w:r>
        <w:rPr/>
        <w:t>however,</w:t>
      </w:r>
      <w:r>
        <w:rPr>
          <w:spacing w:val="-6"/>
        </w:rPr>
        <w:t> </w:t>
      </w:r>
      <w:r>
        <w:rPr/>
        <w:t>may</w:t>
      </w:r>
      <w:r>
        <w:rPr>
          <w:spacing w:val="-7"/>
        </w:rPr>
        <w:t> </w:t>
      </w:r>
      <w:r>
        <w:rPr/>
        <w:t>happen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long-</w:t>
      </w:r>
      <w:r>
        <w:rPr>
          <w:spacing w:val="-43"/>
        </w:rPr>
        <w:t> </w:t>
      </w:r>
      <w:r>
        <w:rPr/>
        <w:t>term</w:t>
      </w:r>
      <w:r>
        <w:rPr>
          <w:spacing w:val="-3"/>
        </w:rPr>
        <w:t> </w:t>
      </w:r>
      <w:r>
        <w:rPr/>
        <w:t>follow-up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patients</w:t>
      </w:r>
      <w:r>
        <w:rPr>
          <w:spacing w:val="-2"/>
        </w:rPr>
        <w:t> </w:t>
      </w:r>
      <w:r>
        <w:rPr/>
        <w:t>treated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children.</w:t>
      </w:r>
      <w:r>
        <w:rPr>
          <w:vertAlign w:val="superscript"/>
        </w:rPr>
        <w:t>1</w:t>
      </w:r>
    </w:p>
    <w:p>
      <w:pPr>
        <w:pStyle w:val="BodyText"/>
        <w:spacing w:before="3"/>
        <w:ind w:right="38" w:firstLine="720"/>
        <w:jc w:val="both"/>
      </w:pPr>
      <w:r>
        <w:rPr/>
        <w:t>While</w:t>
      </w:r>
      <w:r>
        <w:rPr>
          <w:spacing w:val="1"/>
        </w:rPr>
        <w:t> </w:t>
      </w:r>
      <w:r>
        <w:rPr/>
        <w:t>existing</w:t>
      </w:r>
      <w:r>
        <w:rPr>
          <w:spacing w:val="1"/>
        </w:rPr>
        <w:t> </w:t>
      </w:r>
      <w:r>
        <w:rPr/>
        <w:t>therapies</w:t>
      </w:r>
      <w:r>
        <w:rPr>
          <w:spacing w:val="1"/>
        </w:rPr>
        <w:t> </w:t>
      </w:r>
      <w:r>
        <w:rPr/>
        <w:t>aim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palliation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destruction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LES,</w:t>
      </w:r>
      <w:r>
        <w:rPr>
          <w:spacing w:val="1"/>
        </w:rPr>
        <w:t> </w:t>
      </w:r>
      <w:r>
        <w:rPr/>
        <w:t>future</w:t>
      </w:r>
      <w:r>
        <w:rPr>
          <w:spacing w:val="1"/>
        </w:rPr>
        <w:t> </w:t>
      </w:r>
      <w:r>
        <w:rPr/>
        <w:t>treatment</w:t>
      </w:r>
      <w:r>
        <w:rPr>
          <w:spacing w:val="1"/>
        </w:rPr>
        <w:t> </w:t>
      </w:r>
      <w:r>
        <w:rPr/>
        <w:t>might aim to preserve this while addressing the main</w:t>
      </w:r>
      <w:r>
        <w:rPr>
          <w:spacing w:val="-43"/>
        </w:rPr>
        <w:t> </w:t>
      </w:r>
      <w:r>
        <w:rPr>
          <w:spacing w:val="-1"/>
        </w:rPr>
        <w:t>issue</w:t>
      </w:r>
      <w:r>
        <w:rPr>
          <w:spacing w:val="-10"/>
        </w:rPr>
        <w:t> </w:t>
      </w:r>
      <w:r>
        <w:rPr>
          <w:spacing w:val="-1"/>
        </w:rPr>
        <w:t>of</w:t>
      </w:r>
      <w:r>
        <w:rPr>
          <w:spacing w:val="-12"/>
        </w:rPr>
        <w:t> </w:t>
      </w:r>
      <w:r>
        <w:rPr>
          <w:spacing w:val="-1"/>
        </w:rPr>
        <w:t>absence</w:t>
      </w:r>
      <w:r>
        <w:rPr>
          <w:spacing w:val="-9"/>
        </w:rPr>
        <w:t> </w:t>
      </w:r>
      <w:r>
        <w:rPr>
          <w:spacing w:val="-1"/>
        </w:rPr>
        <w:t>of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myenteric</w:t>
      </w:r>
      <w:r>
        <w:rPr>
          <w:spacing w:val="-10"/>
        </w:rPr>
        <w:t> </w:t>
      </w:r>
      <w:r>
        <w:rPr>
          <w:spacing w:val="-1"/>
        </w:rPr>
        <w:t>ganglion</w:t>
      </w:r>
      <w:r>
        <w:rPr>
          <w:spacing w:val="-10"/>
        </w:rPr>
        <w:t> </w:t>
      </w:r>
      <w:r>
        <w:rPr>
          <w:spacing w:val="-1"/>
        </w:rPr>
        <w:t>cells.</w:t>
      </w:r>
      <w:r>
        <w:rPr>
          <w:spacing w:val="-7"/>
        </w:rPr>
        <w:t> </w:t>
      </w:r>
      <w:r>
        <w:rPr>
          <w:spacing w:val="-1"/>
        </w:rPr>
        <w:t>There</w:t>
      </w:r>
      <w:r>
        <w:rPr>
          <w:spacing w:val="-43"/>
        </w:rPr>
        <w:t> </w:t>
      </w:r>
      <w:r>
        <w:rPr>
          <w:spacing w:val="-1"/>
        </w:rPr>
        <w:t>has</w:t>
      </w:r>
      <w:r>
        <w:rPr>
          <w:spacing w:val="-9"/>
        </w:rPr>
        <w:t> </w:t>
      </w:r>
      <w:r>
        <w:rPr>
          <w:spacing w:val="-1"/>
        </w:rPr>
        <w:t>been</w:t>
      </w:r>
      <w:r>
        <w:rPr>
          <w:spacing w:val="-11"/>
        </w:rPr>
        <w:t> </w:t>
      </w:r>
      <w:r>
        <w:rPr>
          <w:spacing w:val="-1"/>
        </w:rPr>
        <w:t>one</w:t>
      </w:r>
      <w:r>
        <w:rPr>
          <w:spacing w:val="-11"/>
        </w:rPr>
        <w:t> </w:t>
      </w:r>
      <w:r>
        <w:rPr>
          <w:spacing w:val="-1"/>
        </w:rPr>
        <w:t>case</w:t>
      </w:r>
      <w:r>
        <w:rPr>
          <w:spacing w:val="-10"/>
        </w:rPr>
        <w:t> </w:t>
      </w:r>
      <w:r>
        <w:rPr>
          <w:spacing w:val="-1"/>
        </w:rPr>
        <w:t>report</w:t>
      </w:r>
      <w:r>
        <w:rPr>
          <w:spacing w:val="-12"/>
        </w:rPr>
        <w:t> </w:t>
      </w:r>
      <w:r>
        <w:rPr>
          <w:spacing w:val="-1"/>
        </w:rPr>
        <w:t>of</w:t>
      </w:r>
      <w:r>
        <w:rPr>
          <w:spacing w:val="-6"/>
        </w:rPr>
        <w:t> </w:t>
      </w:r>
      <w:r>
        <w:rPr>
          <w:spacing w:val="-1"/>
        </w:rPr>
        <w:t>using</w:t>
      </w:r>
      <w:r>
        <w:rPr>
          <w:spacing w:val="-10"/>
        </w:rPr>
        <w:t> </w:t>
      </w:r>
      <w:r>
        <w:rPr>
          <w:spacing w:val="-1"/>
        </w:rPr>
        <w:t>steroids</w:t>
      </w:r>
      <w:r>
        <w:rPr>
          <w:spacing w:val="-9"/>
        </w:rPr>
        <w:t> </w:t>
      </w:r>
      <w:r>
        <w:rPr/>
        <w:t>in</w:t>
      </w:r>
      <w:r>
        <w:rPr>
          <w:spacing w:val="-6"/>
        </w:rPr>
        <w:t> </w:t>
      </w:r>
      <w:r>
        <w:rPr/>
        <w:t>achalasia</w:t>
      </w:r>
      <w:r>
        <w:rPr>
          <w:spacing w:val="-43"/>
        </w:rPr>
        <w:t> </w:t>
      </w:r>
      <w:r>
        <w:rPr/>
        <w:t>to arrest the loss of ganglion cells. However, in most</w:t>
      </w:r>
      <w:r>
        <w:rPr>
          <w:spacing w:val="1"/>
        </w:rPr>
        <w:t> </w:t>
      </w:r>
      <w:r>
        <w:rPr/>
        <w:t>patients the cells are already gone at the time of</w:t>
      </w:r>
      <w:r>
        <w:rPr>
          <w:spacing w:val="1"/>
        </w:rPr>
        <w:t> </w:t>
      </w:r>
      <w:r>
        <w:rPr/>
        <w:t>diagnosis.</w:t>
      </w:r>
      <w:r>
        <w:rPr>
          <w:vertAlign w:val="superscript"/>
        </w:rPr>
        <w:t>12</w:t>
      </w:r>
      <w:r>
        <w:rPr>
          <w:vertAlign w:val="baseline"/>
        </w:rPr>
        <w:t> Stem cell-based treatments for achalasia</w:t>
      </w:r>
      <w:r>
        <w:rPr>
          <w:spacing w:val="1"/>
          <w:vertAlign w:val="baseline"/>
        </w:rPr>
        <w:t> </w:t>
      </w:r>
      <w:r>
        <w:rPr>
          <w:vertAlign w:val="baseline"/>
        </w:rPr>
        <w:t>may also hold promise in the future as research has</w:t>
      </w:r>
      <w:r>
        <w:rPr>
          <w:spacing w:val="1"/>
          <w:vertAlign w:val="baseline"/>
        </w:rPr>
        <w:t> </w:t>
      </w:r>
      <w:r>
        <w:rPr>
          <w:vertAlign w:val="baseline"/>
        </w:rPr>
        <w:t>shown the development of gut-differentiated neural</w:t>
      </w:r>
      <w:r>
        <w:rPr>
          <w:spacing w:val="1"/>
          <w:vertAlign w:val="baseline"/>
        </w:rPr>
        <w:t> </w:t>
      </w:r>
      <w:r>
        <w:rPr>
          <w:vertAlign w:val="baseline"/>
        </w:rPr>
        <w:t>cells.</w:t>
      </w:r>
      <w:r>
        <w:rPr>
          <w:vertAlign w:val="superscript"/>
        </w:rPr>
        <w:t>14</w:t>
      </w:r>
    </w:p>
    <w:p>
      <w:pPr>
        <w:pStyle w:val="BodyText"/>
        <w:spacing w:before="2"/>
        <w:ind w:left="0"/>
      </w:pPr>
    </w:p>
    <w:p>
      <w:pPr>
        <w:pStyle w:val="Heading1"/>
        <w:spacing w:line="242" w:lineRule="exact"/>
      </w:pPr>
      <w:r>
        <w:rPr/>
        <w:t>Conclusion</w:t>
      </w:r>
    </w:p>
    <w:p>
      <w:pPr>
        <w:pStyle w:val="BodyText"/>
        <w:ind w:right="50" w:firstLine="720"/>
        <w:jc w:val="both"/>
      </w:pPr>
      <w:r>
        <w:rPr/>
        <w:t>Achalasia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rare</w:t>
      </w:r>
      <w:r>
        <w:rPr>
          <w:spacing w:val="1"/>
        </w:rPr>
        <w:t> </w:t>
      </w:r>
      <w:r>
        <w:rPr/>
        <w:t>condition</w:t>
      </w:r>
      <w:r>
        <w:rPr>
          <w:spacing w:val="1"/>
        </w:rPr>
        <w:t> </w:t>
      </w:r>
      <w:r>
        <w:rPr/>
        <w:t>affecting</w:t>
      </w:r>
      <w:r>
        <w:rPr>
          <w:spacing w:val="1"/>
        </w:rPr>
        <w:t> </w:t>
      </w:r>
      <w:r>
        <w:rPr/>
        <w:t>esophageal</w:t>
      </w:r>
      <w:r>
        <w:rPr>
          <w:spacing w:val="-10"/>
        </w:rPr>
        <w:t> </w:t>
      </w:r>
      <w:r>
        <w:rPr/>
        <w:t>motility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children.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manner</w:t>
      </w:r>
      <w:r>
        <w:rPr>
          <w:spacing w:val="-8"/>
        </w:rPr>
        <w:t> </w:t>
      </w:r>
      <w:r>
        <w:rPr/>
        <w:t>similar</w:t>
      </w:r>
      <w:r>
        <w:rPr>
          <w:spacing w:val="-8"/>
        </w:rPr>
        <w:t> </w:t>
      </w:r>
      <w:r>
        <w:rPr/>
        <w:t>to</w:t>
      </w:r>
      <w:r>
        <w:rPr>
          <w:spacing w:val="-43"/>
        </w:rPr>
        <w:t> </w:t>
      </w:r>
      <w:r>
        <w:rPr/>
        <w:t>the disease found in the adult population, children</w:t>
      </w:r>
      <w:r>
        <w:rPr>
          <w:spacing w:val="1"/>
        </w:rPr>
        <w:t> </w:t>
      </w:r>
      <w:r>
        <w:rPr/>
        <w:t>experience</w:t>
      </w:r>
      <w:r>
        <w:rPr>
          <w:spacing w:val="1"/>
        </w:rPr>
        <w:t> </w:t>
      </w:r>
      <w:r>
        <w:rPr/>
        <w:t>symptoms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dysphagia,</w:t>
      </w:r>
      <w:r>
        <w:rPr>
          <w:spacing w:val="1"/>
        </w:rPr>
        <w:t> </w:t>
      </w:r>
      <w:r>
        <w:rPr/>
        <w:t>regurgitation,</w:t>
      </w:r>
      <w:r>
        <w:rPr>
          <w:spacing w:val="1"/>
        </w:rPr>
        <w:t> </w:t>
      </w:r>
      <w:r>
        <w:rPr/>
        <w:t>and chest pain due to a failure of relaxation of the</w:t>
      </w:r>
      <w:r>
        <w:rPr>
          <w:spacing w:val="1"/>
        </w:rPr>
        <w:t> </w:t>
      </w:r>
      <w:r>
        <w:rPr/>
        <w:t>lower</w:t>
      </w:r>
      <w:r>
        <w:rPr>
          <w:spacing w:val="1"/>
        </w:rPr>
        <w:t> </w:t>
      </w:r>
      <w:r>
        <w:rPr/>
        <w:t>esophageal</w:t>
      </w:r>
      <w:r>
        <w:rPr>
          <w:spacing w:val="43"/>
        </w:rPr>
        <w:t> </w:t>
      </w:r>
      <w:r>
        <w:rPr/>
        <w:t>sphincter.</w:t>
      </w:r>
      <w:r>
        <w:rPr>
          <w:spacing w:val="44"/>
        </w:rPr>
        <w:t> </w:t>
      </w:r>
      <w:r>
        <w:rPr/>
        <w:t>Standard</w:t>
      </w:r>
      <w:r>
        <w:rPr>
          <w:spacing w:val="45"/>
        </w:rPr>
        <w:t> </w:t>
      </w:r>
      <w:r>
        <w:rPr/>
        <w:t>diagnostic</w:t>
      </w:r>
    </w:p>
    <w:p>
      <w:pPr>
        <w:pStyle w:val="BodyText"/>
        <w:spacing w:before="35"/>
        <w:ind w:right="114"/>
        <w:jc w:val="both"/>
      </w:pPr>
      <w:r>
        <w:rPr/>
        <w:br w:type="column"/>
      </w:r>
      <w:r>
        <w:rPr/>
        <w:t>approaches</w:t>
      </w:r>
      <w:r>
        <w:rPr>
          <w:spacing w:val="-10"/>
        </w:rPr>
        <w:t> </w:t>
      </w:r>
      <w:r>
        <w:rPr/>
        <w:t>include</w:t>
      </w:r>
      <w:r>
        <w:rPr>
          <w:spacing w:val="-10"/>
        </w:rPr>
        <w:t> </w:t>
      </w:r>
      <w:r>
        <w:rPr/>
        <w:t>upper</w:t>
      </w:r>
      <w:r>
        <w:rPr>
          <w:spacing w:val="-10"/>
        </w:rPr>
        <w:t> </w:t>
      </w:r>
      <w:r>
        <w:rPr/>
        <w:t>endoscopy</w:t>
      </w:r>
      <w:r>
        <w:rPr>
          <w:spacing w:val="-12"/>
        </w:rPr>
        <w:t> </w:t>
      </w:r>
      <w:r>
        <w:rPr/>
        <w:t>and</w:t>
      </w:r>
      <w:r>
        <w:rPr>
          <w:spacing w:val="-11"/>
        </w:rPr>
        <w:t> </w:t>
      </w:r>
      <w:r>
        <w:rPr/>
        <w:t>esophageal</w:t>
      </w:r>
      <w:r>
        <w:rPr>
          <w:spacing w:val="-42"/>
        </w:rPr>
        <w:t> </w:t>
      </w:r>
      <w:r>
        <w:rPr/>
        <w:t>manometry. Achalasia therapy is aimed at improving</w:t>
      </w:r>
      <w:r>
        <w:rPr>
          <w:spacing w:val="-43"/>
        </w:rPr>
        <w:t> </w:t>
      </w:r>
      <w:r>
        <w:rPr/>
        <w:t>esophageal emptying by reducing lower esophageal</w:t>
      </w:r>
      <w:r>
        <w:rPr>
          <w:spacing w:val="1"/>
        </w:rPr>
        <w:t> </w:t>
      </w:r>
      <w:r>
        <w:rPr/>
        <w:t>sphincter tone either pharmacologically or surgically.</w:t>
      </w:r>
      <w:r>
        <w:rPr>
          <w:spacing w:val="-43"/>
        </w:rPr>
        <w:t> </w:t>
      </w:r>
      <w:r>
        <w:rPr/>
        <w:t>However, there is currently no defined therapeutic</w:t>
      </w:r>
      <w:r>
        <w:rPr>
          <w:spacing w:val="1"/>
        </w:rPr>
        <w:t> </w:t>
      </w:r>
      <w:r>
        <w:rPr/>
        <w:t>algorithm for the pediatric population.</w:t>
      </w:r>
      <w:r>
        <w:rPr>
          <w:vertAlign w:val="superscript"/>
        </w:rPr>
        <w:t>15</w:t>
      </w:r>
      <w:r>
        <w:rPr>
          <w:vertAlign w:val="baseline"/>
        </w:rPr>
        <w:t> Guidelines</w:t>
      </w:r>
      <w:r>
        <w:rPr>
          <w:spacing w:val="1"/>
          <w:vertAlign w:val="baseline"/>
        </w:rPr>
        <w:t> </w:t>
      </w:r>
      <w:r>
        <w:rPr>
          <w:vertAlign w:val="baseline"/>
        </w:rPr>
        <w:t>for pediatric achalasia rely upon a combination of</w:t>
      </w:r>
      <w:r>
        <w:rPr>
          <w:spacing w:val="1"/>
          <w:vertAlign w:val="baseline"/>
        </w:rPr>
        <w:t> </w:t>
      </w:r>
      <w:r>
        <w:rPr>
          <w:vertAlign w:val="baseline"/>
        </w:rPr>
        <w:t>data</w:t>
      </w:r>
      <w:r>
        <w:rPr>
          <w:spacing w:val="1"/>
          <w:vertAlign w:val="baseline"/>
        </w:rPr>
        <w:t> </w:t>
      </w:r>
      <w:r>
        <w:rPr>
          <w:vertAlign w:val="baseline"/>
        </w:rPr>
        <w:t>obtained</w:t>
      </w:r>
      <w:r>
        <w:rPr>
          <w:spacing w:val="1"/>
          <w:vertAlign w:val="baseline"/>
        </w:rPr>
        <w:t> </w:t>
      </w:r>
      <w:r>
        <w:rPr>
          <w:vertAlign w:val="baseline"/>
        </w:rPr>
        <w:t>from</w:t>
      </w:r>
      <w:r>
        <w:rPr>
          <w:spacing w:val="1"/>
          <w:vertAlign w:val="baseline"/>
        </w:rPr>
        <w:t> </w:t>
      </w:r>
      <w:r>
        <w:rPr>
          <w:vertAlign w:val="baseline"/>
        </w:rPr>
        <w:t>studies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adults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expert</w:t>
      </w:r>
      <w:r>
        <w:rPr>
          <w:spacing w:val="1"/>
          <w:vertAlign w:val="baseline"/>
        </w:rPr>
        <w:t> </w:t>
      </w:r>
      <w:r>
        <w:rPr>
          <w:vertAlign w:val="baseline"/>
        </w:rPr>
        <w:t>opinion.</w:t>
      </w:r>
      <w:r>
        <w:rPr>
          <w:spacing w:val="1"/>
          <w:vertAlign w:val="baseline"/>
        </w:rPr>
        <w:t> </w:t>
      </w:r>
      <w:r>
        <w:rPr>
          <w:vertAlign w:val="baseline"/>
        </w:rPr>
        <w:t>Hence,</w:t>
      </w:r>
      <w:r>
        <w:rPr>
          <w:spacing w:val="1"/>
          <w:vertAlign w:val="baseline"/>
        </w:rPr>
        <w:t> </w:t>
      </w:r>
      <w:r>
        <w:rPr>
          <w:vertAlign w:val="baseline"/>
        </w:rPr>
        <w:t>there</w:t>
      </w:r>
      <w:r>
        <w:rPr>
          <w:spacing w:val="1"/>
          <w:vertAlign w:val="baseline"/>
        </w:rPr>
        <w:t> </w:t>
      </w:r>
      <w:r>
        <w:rPr>
          <w:vertAlign w:val="baseline"/>
        </w:rPr>
        <w:t>is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need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well-designed</w:t>
      </w:r>
      <w:r>
        <w:rPr>
          <w:spacing w:val="-43"/>
          <w:vertAlign w:val="baseline"/>
        </w:rPr>
        <w:t> </w:t>
      </w:r>
      <w:r>
        <w:rPr>
          <w:vertAlign w:val="baseline"/>
        </w:rPr>
        <w:t>intervention</w:t>
      </w:r>
      <w:r>
        <w:rPr>
          <w:spacing w:val="1"/>
          <w:vertAlign w:val="baseline"/>
        </w:rPr>
        <w:t> </w:t>
      </w:r>
      <w:r>
        <w:rPr>
          <w:vertAlign w:val="baseline"/>
        </w:rPr>
        <w:t>trials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children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1"/>
          <w:vertAlign w:val="baseline"/>
        </w:rPr>
        <w:t> </w:t>
      </w:r>
      <w:r>
        <w:rPr>
          <w:vertAlign w:val="baseline"/>
        </w:rPr>
        <w:t>achalasia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-43"/>
          <w:vertAlign w:val="baseline"/>
        </w:rPr>
        <w:t> </w:t>
      </w:r>
      <w:r>
        <w:rPr>
          <w:vertAlign w:val="baseline"/>
        </w:rPr>
        <w:t>determine</w:t>
      </w:r>
      <w:r>
        <w:rPr>
          <w:spacing w:val="1"/>
          <w:vertAlign w:val="baseline"/>
        </w:rPr>
        <w:t> </w:t>
      </w:r>
      <w:r>
        <w:rPr>
          <w:vertAlign w:val="baseline"/>
        </w:rPr>
        <w:t>optimal</w:t>
      </w:r>
      <w:r>
        <w:rPr>
          <w:spacing w:val="1"/>
          <w:vertAlign w:val="baseline"/>
        </w:rPr>
        <w:t> </w:t>
      </w:r>
      <w:r>
        <w:rPr>
          <w:vertAlign w:val="baseline"/>
        </w:rPr>
        <w:t>management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facilitate</w:t>
      </w:r>
      <w:r>
        <w:rPr>
          <w:spacing w:val="-43"/>
          <w:vertAlign w:val="baseline"/>
        </w:rPr>
        <w:t> </w:t>
      </w:r>
      <w:r>
        <w:rPr>
          <w:vertAlign w:val="baseline"/>
        </w:rPr>
        <w:t>evidence-based</w:t>
      </w:r>
      <w:r>
        <w:rPr>
          <w:spacing w:val="-2"/>
          <w:vertAlign w:val="baseline"/>
        </w:rPr>
        <w:t> </w:t>
      </w:r>
      <w:r>
        <w:rPr>
          <w:vertAlign w:val="baseline"/>
        </w:rPr>
        <w:t>clinical</w:t>
      </w:r>
      <w:r>
        <w:rPr>
          <w:spacing w:val="-4"/>
          <w:vertAlign w:val="baseline"/>
        </w:rPr>
        <w:t> </w:t>
      </w:r>
      <w:r>
        <w:rPr>
          <w:vertAlign w:val="baseline"/>
        </w:rPr>
        <w:t>guideline</w:t>
      </w:r>
      <w:r>
        <w:rPr>
          <w:spacing w:val="-3"/>
          <w:vertAlign w:val="baseline"/>
        </w:rPr>
        <w:t> </w:t>
      </w:r>
      <w:r>
        <w:rPr>
          <w:vertAlign w:val="baseline"/>
        </w:rPr>
        <w:t>development.</w:t>
      </w:r>
    </w:p>
    <w:p>
      <w:pPr>
        <w:pStyle w:val="BodyText"/>
        <w:spacing w:before="2"/>
        <w:ind w:left="0"/>
      </w:pPr>
    </w:p>
    <w:p>
      <w:pPr>
        <w:pStyle w:val="Heading1"/>
        <w:spacing w:line="244" w:lineRule="exact"/>
      </w:pPr>
      <w:r>
        <w:rPr/>
        <w:t>References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  <w:tab w:pos="501" w:val="left" w:leader="none"/>
        </w:tabs>
        <w:spacing w:line="240" w:lineRule="auto" w:before="0" w:after="0"/>
        <w:ind w:left="500" w:right="415" w:hanging="361"/>
        <w:jc w:val="left"/>
        <w:rPr>
          <w:sz w:val="16"/>
        </w:rPr>
      </w:pPr>
      <w:r>
        <w:rPr>
          <w:sz w:val="16"/>
        </w:rPr>
        <w:t>Islam,</w:t>
      </w:r>
      <w:r>
        <w:rPr>
          <w:spacing w:val="-5"/>
          <w:sz w:val="16"/>
        </w:rPr>
        <w:t> </w:t>
      </w:r>
      <w:r>
        <w:rPr>
          <w:sz w:val="16"/>
        </w:rPr>
        <w:t>S.</w:t>
      </w:r>
      <w:r>
        <w:rPr>
          <w:spacing w:val="-5"/>
          <w:sz w:val="16"/>
        </w:rPr>
        <w:t> </w:t>
      </w:r>
      <w:r>
        <w:rPr>
          <w:sz w:val="16"/>
        </w:rPr>
        <w:t>(2017).</w:t>
      </w:r>
      <w:r>
        <w:rPr>
          <w:spacing w:val="-5"/>
          <w:sz w:val="16"/>
        </w:rPr>
        <w:t> </w:t>
      </w:r>
      <w:r>
        <w:rPr>
          <w:sz w:val="16"/>
        </w:rPr>
        <w:t>Achalasia.</w:t>
      </w:r>
      <w:r>
        <w:rPr>
          <w:spacing w:val="-4"/>
          <w:sz w:val="16"/>
        </w:rPr>
        <w:t> </w:t>
      </w:r>
      <w:r>
        <w:rPr>
          <w:i/>
          <w:sz w:val="16"/>
        </w:rPr>
        <w:t>Seminars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in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Pediatric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Surgery,</w:t>
      </w:r>
      <w:r>
        <w:rPr>
          <w:i/>
          <w:spacing w:val="-33"/>
          <w:sz w:val="16"/>
        </w:rPr>
        <w:t> </w:t>
      </w:r>
      <w:r>
        <w:rPr>
          <w:i/>
          <w:sz w:val="16"/>
        </w:rPr>
        <w:t>26</w:t>
      </w:r>
      <w:r>
        <w:rPr>
          <w:sz w:val="16"/>
        </w:rPr>
        <w:t>(2),</w:t>
      </w:r>
      <w:r>
        <w:rPr>
          <w:spacing w:val="-2"/>
          <w:sz w:val="16"/>
        </w:rPr>
        <w:t> </w:t>
      </w:r>
      <w:r>
        <w:rPr>
          <w:sz w:val="16"/>
        </w:rPr>
        <w:t>116–120.</w:t>
      </w:r>
    </w:p>
    <w:p>
      <w:pPr>
        <w:spacing w:line="194" w:lineRule="exact" w:before="0"/>
        <w:ind w:left="500" w:right="0" w:firstLine="0"/>
        <w:jc w:val="left"/>
        <w:rPr>
          <w:sz w:val="16"/>
        </w:rPr>
      </w:pPr>
      <w:r>
        <w:rPr>
          <w:sz w:val="16"/>
        </w:rPr>
        <w:t>https://doi.org/10.1053/j.sempedsurg.2017.02.001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  <w:tab w:pos="501" w:val="left" w:leader="none"/>
        </w:tabs>
        <w:spacing w:line="195" w:lineRule="exact" w:before="0" w:after="0"/>
        <w:ind w:left="500" w:right="0" w:hanging="361"/>
        <w:jc w:val="left"/>
        <w:rPr>
          <w:sz w:val="16"/>
        </w:rPr>
      </w:pPr>
      <w:r>
        <w:rPr>
          <w:sz w:val="16"/>
        </w:rPr>
        <w:t>Van</w:t>
      </w:r>
      <w:r>
        <w:rPr>
          <w:spacing w:val="-8"/>
          <w:sz w:val="16"/>
        </w:rPr>
        <w:t> </w:t>
      </w:r>
      <w:r>
        <w:rPr>
          <w:sz w:val="16"/>
        </w:rPr>
        <w:t>Lennep,</w:t>
      </w:r>
      <w:r>
        <w:rPr>
          <w:spacing w:val="-8"/>
          <w:sz w:val="16"/>
        </w:rPr>
        <w:t> </w:t>
      </w:r>
      <w:r>
        <w:rPr>
          <w:sz w:val="16"/>
        </w:rPr>
        <w:t>M.,</w:t>
      </w:r>
      <w:r>
        <w:rPr>
          <w:spacing w:val="-5"/>
          <w:sz w:val="16"/>
        </w:rPr>
        <w:t> </w:t>
      </w:r>
      <w:r>
        <w:rPr>
          <w:sz w:val="16"/>
        </w:rPr>
        <w:t>Van</w:t>
      </w:r>
      <w:r>
        <w:rPr>
          <w:spacing w:val="-4"/>
          <w:sz w:val="16"/>
        </w:rPr>
        <w:t> </w:t>
      </w:r>
      <w:r>
        <w:rPr>
          <w:sz w:val="16"/>
        </w:rPr>
        <w:t>Wijk,</w:t>
      </w:r>
      <w:r>
        <w:rPr>
          <w:spacing w:val="-8"/>
          <w:sz w:val="16"/>
        </w:rPr>
        <w:t> </w:t>
      </w:r>
      <w:r>
        <w:rPr>
          <w:sz w:val="16"/>
        </w:rPr>
        <w:t>M.</w:t>
      </w:r>
      <w:r>
        <w:rPr>
          <w:spacing w:val="-9"/>
          <w:sz w:val="16"/>
        </w:rPr>
        <w:t> </w:t>
      </w:r>
      <w:r>
        <w:rPr>
          <w:sz w:val="16"/>
        </w:rPr>
        <w:t>P.,</w:t>
      </w:r>
      <w:r>
        <w:rPr>
          <w:spacing w:val="-9"/>
          <w:sz w:val="16"/>
        </w:rPr>
        <w:t> </w:t>
      </w:r>
      <w:r>
        <w:rPr>
          <w:sz w:val="16"/>
        </w:rPr>
        <w:t>Omari,</w:t>
      </w:r>
      <w:r>
        <w:rPr>
          <w:spacing w:val="-5"/>
          <w:sz w:val="16"/>
        </w:rPr>
        <w:t> </w:t>
      </w:r>
      <w:r>
        <w:rPr>
          <w:sz w:val="16"/>
        </w:rPr>
        <w:t>T.</w:t>
      </w:r>
      <w:r>
        <w:rPr>
          <w:spacing w:val="-8"/>
          <w:sz w:val="16"/>
        </w:rPr>
        <w:t> </w:t>
      </w:r>
      <w:r>
        <w:rPr>
          <w:sz w:val="16"/>
        </w:rPr>
        <w:t>I.</w:t>
      </w:r>
      <w:r>
        <w:rPr>
          <w:spacing w:val="-5"/>
          <w:sz w:val="16"/>
        </w:rPr>
        <w:t> </w:t>
      </w:r>
      <w:r>
        <w:rPr>
          <w:sz w:val="16"/>
        </w:rPr>
        <w:t>M.,</w:t>
      </w:r>
      <w:r>
        <w:rPr>
          <w:spacing w:val="-5"/>
          <w:sz w:val="16"/>
        </w:rPr>
        <w:t> </w:t>
      </w:r>
      <w:r>
        <w:rPr>
          <w:sz w:val="16"/>
        </w:rPr>
        <w:t>Benninga,</w:t>
      </w:r>
    </w:p>
    <w:p>
      <w:pPr>
        <w:spacing w:line="242" w:lineRule="auto" w:before="0"/>
        <w:ind w:left="500" w:right="246" w:firstLine="0"/>
        <w:jc w:val="left"/>
        <w:rPr>
          <w:sz w:val="16"/>
        </w:rPr>
      </w:pPr>
      <w:r>
        <w:rPr>
          <w:sz w:val="16"/>
        </w:rPr>
        <w:t>M. A., &amp; Singendonk, M. M. J. (2018). Clinical management</w:t>
      </w:r>
      <w:r>
        <w:rPr>
          <w:spacing w:val="-34"/>
          <w:sz w:val="16"/>
        </w:rPr>
        <w:t> </w:t>
      </w:r>
      <w:r>
        <w:rPr>
          <w:sz w:val="16"/>
        </w:rPr>
        <w:t>of</w:t>
      </w:r>
      <w:r>
        <w:rPr>
          <w:spacing w:val="-6"/>
          <w:sz w:val="16"/>
        </w:rPr>
        <w:t> </w:t>
      </w:r>
      <w:r>
        <w:rPr>
          <w:sz w:val="16"/>
        </w:rPr>
        <w:t>pediatric</w:t>
      </w:r>
      <w:r>
        <w:rPr>
          <w:spacing w:val="-5"/>
          <w:sz w:val="16"/>
        </w:rPr>
        <w:t> </w:t>
      </w:r>
      <w:r>
        <w:rPr>
          <w:sz w:val="16"/>
        </w:rPr>
        <w:t>achalasia.</w:t>
      </w:r>
      <w:r>
        <w:rPr>
          <w:spacing w:val="-5"/>
          <w:sz w:val="16"/>
        </w:rPr>
        <w:t> </w:t>
      </w:r>
      <w:r>
        <w:rPr>
          <w:i/>
          <w:sz w:val="16"/>
        </w:rPr>
        <w:t>Expert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Review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of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Gastroenterology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&amp;</w:t>
      </w:r>
      <w:r>
        <w:rPr>
          <w:i/>
          <w:spacing w:val="-33"/>
          <w:sz w:val="16"/>
        </w:rPr>
        <w:t> </w:t>
      </w:r>
      <w:r>
        <w:rPr>
          <w:i/>
          <w:sz w:val="16"/>
        </w:rPr>
        <w:t>Hepatology</w:t>
      </w:r>
      <w:r>
        <w:rPr>
          <w:sz w:val="16"/>
        </w:rPr>
        <w:t>,</w:t>
      </w:r>
      <w:r>
        <w:rPr>
          <w:spacing w:val="2"/>
          <w:sz w:val="16"/>
        </w:rPr>
        <w:t> </w:t>
      </w:r>
      <w:r>
        <w:rPr>
          <w:i/>
          <w:sz w:val="16"/>
        </w:rPr>
        <w:t>12</w:t>
      </w:r>
      <w:r>
        <w:rPr>
          <w:sz w:val="16"/>
        </w:rPr>
        <w:t>(4),</w:t>
      </w:r>
      <w:r>
        <w:rPr>
          <w:spacing w:val="-1"/>
          <w:sz w:val="16"/>
        </w:rPr>
        <w:t> </w:t>
      </w:r>
      <w:r>
        <w:rPr>
          <w:sz w:val="16"/>
        </w:rPr>
        <w:t>391–404.</w:t>
      </w:r>
      <w:r>
        <w:rPr>
          <w:spacing w:val="1"/>
          <w:sz w:val="16"/>
        </w:rPr>
        <w:t> </w:t>
      </w:r>
      <w:r>
        <w:rPr>
          <w:sz w:val="16"/>
        </w:rPr>
        <w:t>https://doi.org/10.1080/17474124.2018.1441023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  <w:tab w:pos="501" w:val="left" w:leader="none"/>
        </w:tabs>
        <w:spacing w:line="240" w:lineRule="auto" w:before="0" w:after="0"/>
        <w:ind w:left="500" w:right="545" w:hanging="361"/>
        <w:jc w:val="left"/>
        <w:rPr>
          <w:sz w:val="16"/>
        </w:rPr>
      </w:pPr>
      <w:r>
        <w:rPr>
          <w:i/>
          <w:sz w:val="16"/>
        </w:rPr>
        <w:t>Pediatrics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Disease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Registry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Program</w:t>
      </w:r>
      <w:r>
        <w:rPr>
          <w:sz w:val="16"/>
        </w:rPr>
        <w:t>.</w:t>
      </w:r>
      <w:r>
        <w:rPr>
          <w:spacing w:val="-6"/>
          <w:sz w:val="16"/>
        </w:rPr>
        <w:t> </w:t>
      </w:r>
      <w:r>
        <w:rPr>
          <w:sz w:val="16"/>
        </w:rPr>
        <w:t>(2021).</w:t>
      </w:r>
      <w:r>
        <w:rPr>
          <w:spacing w:val="-7"/>
          <w:sz w:val="16"/>
        </w:rPr>
        <w:t> </w:t>
      </w:r>
      <w:r>
        <w:rPr>
          <w:sz w:val="16"/>
        </w:rPr>
        <w:t>Philippine</w:t>
      </w:r>
      <w:r>
        <w:rPr>
          <w:spacing w:val="-33"/>
          <w:sz w:val="16"/>
        </w:rPr>
        <w:t> </w:t>
      </w:r>
      <w:r>
        <w:rPr>
          <w:sz w:val="16"/>
        </w:rPr>
        <w:t>Pediatric</w:t>
      </w:r>
      <w:r>
        <w:rPr>
          <w:spacing w:val="-5"/>
          <w:sz w:val="16"/>
        </w:rPr>
        <w:t> </w:t>
      </w:r>
      <w:r>
        <w:rPr>
          <w:sz w:val="16"/>
        </w:rPr>
        <w:t>Society.</w:t>
      </w:r>
      <w:r>
        <w:rPr>
          <w:spacing w:val="-6"/>
          <w:sz w:val="16"/>
        </w:rPr>
        <w:t> </w:t>
      </w:r>
      <w:r>
        <w:rPr>
          <w:sz w:val="16"/>
        </w:rPr>
        <w:t>https://pps.ivant.com/search.do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  <w:tab w:pos="501" w:val="left" w:leader="none"/>
        </w:tabs>
        <w:spacing w:line="240" w:lineRule="auto" w:before="0" w:after="0"/>
        <w:ind w:left="500" w:right="566" w:hanging="361"/>
        <w:jc w:val="left"/>
        <w:rPr>
          <w:sz w:val="16"/>
        </w:rPr>
      </w:pPr>
      <w:r>
        <w:rPr>
          <w:spacing w:val="-1"/>
          <w:sz w:val="16"/>
        </w:rPr>
        <w:t>Tashiro,</w:t>
      </w:r>
      <w:r>
        <w:rPr>
          <w:spacing w:val="-8"/>
          <w:sz w:val="16"/>
        </w:rPr>
        <w:t> </w:t>
      </w:r>
      <w:r>
        <w:rPr>
          <w:sz w:val="16"/>
        </w:rPr>
        <w:t>J.,</w:t>
      </w:r>
      <w:r>
        <w:rPr>
          <w:spacing w:val="-8"/>
          <w:sz w:val="16"/>
        </w:rPr>
        <w:t> </w:t>
      </w:r>
      <w:r>
        <w:rPr>
          <w:sz w:val="16"/>
        </w:rPr>
        <w:t>Petrosyan,</w:t>
      </w:r>
      <w:r>
        <w:rPr>
          <w:spacing w:val="-8"/>
          <w:sz w:val="16"/>
        </w:rPr>
        <w:t> </w:t>
      </w:r>
      <w:r>
        <w:rPr>
          <w:sz w:val="16"/>
        </w:rPr>
        <w:t>M.,</w:t>
      </w:r>
      <w:r>
        <w:rPr>
          <w:spacing w:val="-9"/>
          <w:sz w:val="16"/>
        </w:rPr>
        <w:t> </w:t>
      </w:r>
      <w:r>
        <w:rPr>
          <w:sz w:val="16"/>
        </w:rPr>
        <w:t>&amp;</w:t>
      </w:r>
      <w:r>
        <w:rPr>
          <w:spacing w:val="-7"/>
          <w:sz w:val="16"/>
        </w:rPr>
        <w:t> </w:t>
      </w:r>
      <w:r>
        <w:rPr>
          <w:sz w:val="16"/>
        </w:rPr>
        <w:t>Kane,</w:t>
      </w:r>
      <w:r>
        <w:rPr>
          <w:spacing w:val="-8"/>
          <w:sz w:val="16"/>
        </w:rPr>
        <w:t> </w:t>
      </w:r>
      <w:r>
        <w:rPr>
          <w:sz w:val="16"/>
        </w:rPr>
        <w:t>T.</w:t>
      </w:r>
      <w:r>
        <w:rPr>
          <w:spacing w:val="-8"/>
          <w:sz w:val="16"/>
        </w:rPr>
        <w:t> </w:t>
      </w:r>
      <w:r>
        <w:rPr>
          <w:sz w:val="16"/>
        </w:rPr>
        <w:t>D.</w:t>
      </w:r>
      <w:r>
        <w:rPr>
          <w:spacing w:val="-4"/>
          <w:sz w:val="16"/>
        </w:rPr>
        <w:t> </w:t>
      </w:r>
      <w:r>
        <w:rPr>
          <w:sz w:val="16"/>
        </w:rPr>
        <w:t>(2021).</w:t>
      </w:r>
      <w:r>
        <w:rPr>
          <w:spacing w:val="-9"/>
          <w:sz w:val="16"/>
        </w:rPr>
        <w:t> </w:t>
      </w:r>
      <w:r>
        <w:rPr>
          <w:sz w:val="16"/>
        </w:rPr>
        <w:t>Current</w:t>
      </w:r>
      <w:r>
        <w:rPr>
          <w:spacing w:val="-33"/>
          <w:sz w:val="16"/>
        </w:rPr>
        <w:t> </w:t>
      </w:r>
      <w:r>
        <w:rPr>
          <w:sz w:val="16"/>
        </w:rPr>
        <w:t>management of pediatric achalasia. </w:t>
      </w:r>
      <w:r>
        <w:rPr>
          <w:i/>
          <w:sz w:val="16"/>
        </w:rPr>
        <w:t>Translational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Gastroenterology and Hepatology</w:t>
      </w:r>
      <w:r>
        <w:rPr>
          <w:sz w:val="16"/>
        </w:rPr>
        <w:t>,</w:t>
      </w:r>
      <w:r>
        <w:rPr>
          <w:spacing w:val="2"/>
          <w:sz w:val="16"/>
        </w:rPr>
        <w:t> </w:t>
      </w:r>
      <w:r>
        <w:rPr>
          <w:i/>
          <w:sz w:val="16"/>
        </w:rPr>
        <w:t>6</w:t>
      </w:r>
      <w:r>
        <w:rPr>
          <w:sz w:val="16"/>
        </w:rPr>
        <w:t>,</w:t>
      </w:r>
      <w:r>
        <w:rPr>
          <w:spacing w:val="-2"/>
          <w:sz w:val="16"/>
        </w:rPr>
        <w:t> </w:t>
      </w:r>
      <w:r>
        <w:rPr>
          <w:sz w:val="16"/>
        </w:rPr>
        <w:t>33.</w:t>
      </w:r>
      <w:r>
        <w:rPr>
          <w:spacing w:val="1"/>
          <w:sz w:val="16"/>
        </w:rPr>
        <w:t> </w:t>
      </w:r>
      <w:r>
        <w:rPr>
          <w:sz w:val="16"/>
        </w:rPr>
        <w:t>https://doi.org/10.21037/tgh-20-215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  <w:tab w:pos="501" w:val="left" w:leader="none"/>
        </w:tabs>
        <w:spacing w:line="240" w:lineRule="auto" w:before="0" w:after="0"/>
        <w:ind w:left="500" w:right="238" w:hanging="361"/>
        <w:jc w:val="left"/>
        <w:rPr>
          <w:sz w:val="16"/>
        </w:rPr>
      </w:pPr>
      <w:r>
        <w:rPr>
          <w:sz w:val="16"/>
        </w:rPr>
        <w:t>Gyawali,</w:t>
      </w:r>
      <w:r>
        <w:rPr>
          <w:spacing w:val="-7"/>
          <w:sz w:val="16"/>
        </w:rPr>
        <w:t> </w:t>
      </w:r>
      <w:r>
        <w:rPr>
          <w:sz w:val="16"/>
        </w:rPr>
        <w:t>C.</w:t>
      </w:r>
      <w:r>
        <w:rPr>
          <w:spacing w:val="-7"/>
          <w:sz w:val="16"/>
        </w:rPr>
        <w:t> </w:t>
      </w:r>
      <w:r>
        <w:rPr>
          <w:sz w:val="16"/>
        </w:rPr>
        <w:t>P.</w:t>
      </w:r>
      <w:r>
        <w:rPr>
          <w:spacing w:val="-2"/>
          <w:sz w:val="16"/>
        </w:rPr>
        <w:t> </w:t>
      </w:r>
      <w:r>
        <w:rPr>
          <w:sz w:val="16"/>
        </w:rPr>
        <w:t>(2015).</w:t>
      </w:r>
      <w:r>
        <w:rPr>
          <w:spacing w:val="-7"/>
          <w:sz w:val="16"/>
        </w:rPr>
        <w:t> </w:t>
      </w:r>
      <w:r>
        <w:rPr>
          <w:sz w:val="16"/>
        </w:rPr>
        <w:t>Achalasia:</w:t>
      </w:r>
      <w:r>
        <w:rPr>
          <w:spacing w:val="-6"/>
          <w:sz w:val="16"/>
        </w:rPr>
        <w:t> </w:t>
      </w:r>
      <w:r>
        <w:rPr>
          <w:sz w:val="16"/>
        </w:rPr>
        <w:t>new</w:t>
      </w:r>
      <w:r>
        <w:rPr>
          <w:spacing w:val="-6"/>
          <w:sz w:val="16"/>
        </w:rPr>
        <w:t> </w:t>
      </w:r>
      <w:r>
        <w:rPr>
          <w:sz w:val="16"/>
        </w:rPr>
        <w:t>perspectives</w:t>
      </w:r>
      <w:r>
        <w:rPr>
          <w:spacing w:val="-4"/>
          <w:sz w:val="16"/>
        </w:rPr>
        <w:t> </w:t>
      </w:r>
      <w:r>
        <w:rPr>
          <w:sz w:val="16"/>
        </w:rPr>
        <w:t>on</w:t>
      </w:r>
      <w:r>
        <w:rPr>
          <w:spacing w:val="-7"/>
          <w:sz w:val="16"/>
        </w:rPr>
        <w:t> </w:t>
      </w:r>
      <w:r>
        <w:rPr>
          <w:sz w:val="16"/>
        </w:rPr>
        <w:t>an</w:t>
      </w:r>
      <w:r>
        <w:rPr>
          <w:spacing w:val="-6"/>
          <w:sz w:val="16"/>
        </w:rPr>
        <w:t> </w:t>
      </w:r>
      <w:r>
        <w:rPr>
          <w:sz w:val="16"/>
        </w:rPr>
        <w:t>old</w:t>
      </w:r>
      <w:r>
        <w:rPr>
          <w:spacing w:val="-33"/>
          <w:sz w:val="16"/>
        </w:rPr>
        <w:t> </w:t>
      </w:r>
      <w:r>
        <w:rPr>
          <w:sz w:val="16"/>
        </w:rPr>
        <w:t>disease. </w:t>
      </w:r>
      <w:r>
        <w:rPr>
          <w:i/>
          <w:sz w:val="16"/>
        </w:rPr>
        <w:t>Neurogastroenterology &amp; Motility, 28</w:t>
      </w:r>
      <w:r>
        <w:rPr>
          <w:sz w:val="16"/>
        </w:rPr>
        <w:t>(1), 4–11.</w:t>
      </w:r>
      <w:r>
        <w:rPr>
          <w:spacing w:val="1"/>
          <w:sz w:val="16"/>
        </w:rPr>
        <w:t> </w:t>
      </w:r>
      <w:r>
        <w:rPr>
          <w:sz w:val="16"/>
        </w:rPr>
        <w:t>https://doi.org/10.1111/nmo.12750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  <w:tab w:pos="501" w:val="left" w:leader="none"/>
        </w:tabs>
        <w:spacing w:line="240" w:lineRule="auto" w:before="0" w:after="0"/>
        <w:ind w:left="500" w:right="198" w:hanging="361"/>
        <w:jc w:val="left"/>
        <w:rPr>
          <w:sz w:val="16"/>
        </w:rPr>
      </w:pPr>
      <w:r>
        <w:rPr>
          <w:sz w:val="16"/>
        </w:rPr>
        <w:t>Smits,</w:t>
      </w:r>
      <w:r>
        <w:rPr>
          <w:spacing w:val="-5"/>
          <w:sz w:val="16"/>
        </w:rPr>
        <w:t> </w:t>
      </w:r>
      <w:r>
        <w:rPr>
          <w:sz w:val="16"/>
        </w:rPr>
        <w:t>M.,</w:t>
      </w:r>
      <w:r>
        <w:rPr>
          <w:spacing w:val="-5"/>
          <w:sz w:val="16"/>
        </w:rPr>
        <w:t> </w:t>
      </w:r>
      <w:r>
        <w:rPr>
          <w:sz w:val="16"/>
        </w:rPr>
        <w:t>Van</w:t>
      </w:r>
      <w:r>
        <w:rPr>
          <w:spacing w:val="-4"/>
          <w:sz w:val="16"/>
        </w:rPr>
        <w:t> </w:t>
      </w:r>
      <w:r>
        <w:rPr>
          <w:sz w:val="16"/>
        </w:rPr>
        <w:t>Lennep,</w:t>
      </w:r>
      <w:r>
        <w:rPr>
          <w:spacing w:val="-4"/>
          <w:sz w:val="16"/>
        </w:rPr>
        <w:t> </w:t>
      </w:r>
      <w:r>
        <w:rPr>
          <w:sz w:val="16"/>
        </w:rPr>
        <w:t>M.,</w:t>
      </w:r>
      <w:r>
        <w:rPr>
          <w:spacing w:val="-5"/>
          <w:sz w:val="16"/>
        </w:rPr>
        <w:t> </w:t>
      </w:r>
      <w:r>
        <w:rPr>
          <w:sz w:val="16"/>
        </w:rPr>
        <w:t>Vrijlandt,</w:t>
      </w:r>
      <w:r>
        <w:rPr>
          <w:spacing w:val="-4"/>
          <w:sz w:val="16"/>
        </w:rPr>
        <w:t> </w:t>
      </w:r>
      <w:r>
        <w:rPr>
          <w:sz w:val="16"/>
        </w:rPr>
        <w:t>R.,</w:t>
      </w:r>
      <w:r>
        <w:rPr>
          <w:spacing w:val="-5"/>
          <w:sz w:val="16"/>
        </w:rPr>
        <w:t> </w:t>
      </w:r>
      <w:r>
        <w:rPr>
          <w:sz w:val="16"/>
        </w:rPr>
        <w:t>Benninga,</w:t>
      </w:r>
      <w:r>
        <w:rPr>
          <w:spacing w:val="-4"/>
          <w:sz w:val="16"/>
        </w:rPr>
        <w:t> </w:t>
      </w:r>
      <w:r>
        <w:rPr>
          <w:sz w:val="16"/>
        </w:rPr>
        <w:t>M.,</w:t>
      </w:r>
      <w:r>
        <w:rPr>
          <w:spacing w:val="-1"/>
          <w:sz w:val="16"/>
        </w:rPr>
        <w:t> </w:t>
      </w:r>
      <w:r>
        <w:rPr>
          <w:sz w:val="16"/>
        </w:rPr>
        <w:t>Oors,</w:t>
      </w:r>
      <w:r>
        <w:rPr>
          <w:spacing w:val="-33"/>
          <w:sz w:val="16"/>
        </w:rPr>
        <w:t> </w:t>
      </w:r>
      <w:r>
        <w:rPr>
          <w:sz w:val="16"/>
        </w:rPr>
        <w:t>J.,</w:t>
      </w:r>
      <w:r>
        <w:rPr>
          <w:spacing w:val="-8"/>
          <w:sz w:val="16"/>
        </w:rPr>
        <w:t> </w:t>
      </w:r>
      <w:r>
        <w:rPr>
          <w:sz w:val="16"/>
        </w:rPr>
        <w:t>Houwen,</w:t>
      </w:r>
      <w:r>
        <w:rPr>
          <w:spacing w:val="-7"/>
          <w:sz w:val="16"/>
        </w:rPr>
        <w:t> </w:t>
      </w:r>
      <w:r>
        <w:rPr>
          <w:sz w:val="16"/>
        </w:rPr>
        <w:t>R.,</w:t>
      </w:r>
      <w:r>
        <w:rPr>
          <w:spacing w:val="-7"/>
          <w:sz w:val="16"/>
        </w:rPr>
        <w:t> </w:t>
      </w:r>
      <w:r>
        <w:rPr>
          <w:sz w:val="16"/>
        </w:rPr>
        <w:t>Kokke,</w:t>
      </w:r>
      <w:r>
        <w:rPr>
          <w:spacing w:val="-7"/>
          <w:sz w:val="16"/>
        </w:rPr>
        <w:t> </w:t>
      </w:r>
      <w:r>
        <w:rPr>
          <w:sz w:val="16"/>
        </w:rPr>
        <w:t>F.,</w:t>
      </w:r>
      <w:r>
        <w:rPr>
          <w:spacing w:val="-8"/>
          <w:sz w:val="16"/>
        </w:rPr>
        <w:t> </w:t>
      </w:r>
      <w:r>
        <w:rPr>
          <w:sz w:val="16"/>
        </w:rPr>
        <w:t>Van</w:t>
      </w:r>
      <w:r>
        <w:rPr>
          <w:spacing w:val="-7"/>
          <w:sz w:val="16"/>
        </w:rPr>
        <w:t> </w:t>
      </w:r>
      <w:r>
        <w:rPr>
          <w:sz w:val="16"/>
        </w:rPr>
        <w:t>der</w:t>
      </w:r>
      <w:r>
        <w:rPr>
          <w:spacing w:val="-7"/>
          <w:sz w:val="16"/>
        </w:rPr>
        <w:t> </w:t>
      </w:r>
      <w:r>
        <w:rPr>
          <w:sz w:val="16"/>
        </w:rPr>
        <w:t>Zee,</w:t>
      </w:r>
      <w:r>
        <w:rPr>
          <w:spacing w:val="-7"/>
          <w:sz w:val="16"/>
        </w:rPr>
        <w:t> </w:t>
      </w:r>
      <w:r>
        <w:rPr>
          <w:sz w:val="16"/>
        </w:rPr>
        <w:t>D.,</w:t>
      </w:r>
      <w:r>
        <w:rPr>
          <w:spacing w:val="-8"/>
          <w:sz w:val="16"/>
        </w:rPr>
        <w:t> </w:t>
      </w:r>
      <w:r>
        <w:rPr>
          <w:sz w:val="16"/>
        </w:rPr>
        <w:t>Escher,</w:t>
      </w:r>
      <w:r>
        <w:rPr>
          <w:spacing w:val="-6"/>
          <w:sz w:val="16"/>
        </w:rPr>
        <w:t> </w:t>
      </w:r>
      <w:r>
        <w:rPr>
          <w:sz w:val="16"/>
        </w:rPr>
        <w:t>J.,</w:t>
      </w:r>
      <w:r>
        <w:rPr>
          <w:spacing w:val="-8"/>
          <w:sz w:val="16"/>
        </w:rPr>
        <w:t> </w:t>
      </w:r>
      <w:r>
        <w:rPr>
          <w:sz w:val="16"/>
        </w:rPr>
        <w:t>Van</w:t>
      </w:r>
      <w:r>
        <w:rPr>
          <w:spacing w:val="-7"/>
          <w:sz w:val="16"/>
        </w:rPr>
        <w:t> </w:t>
      </w:r>
      <w:r>
        <w:rPr>
          <w:sz w:val="16"/>
        </w:rPr>
        <w:t>den</w:t>
      </w:r>
      <w:r>
        <w:rPr>
          <w:spacing w:val="1"/>
          <w:sz w:val="16"/>
        </w:rPr>
        <w:t> </w:t>
      </w:r>
      <w:r>
        <w:rPr>
          <w:sz w:val="16"/>
        </w:rPr>
        <w:t>Neucker, A., de Meij, T., Bodewes, F., Schweizer, J., Damen,</w:t>
      </w:r>
      <w:r>
        <w:rPr>
          <w:spacing w:val="-34"/>
          <w:sz w:val="16"/>
        </w:rPr>
        <w:t> </w:t>
      </w:r>
      <w:r>
        <w:rPr>
          <w:sz w:val="16"/>
        </w:rPr>
        <w:t>G., Busch, O., &amp; van Wijk, M. (2016). Pediatric Achalasia in</w:t>
      </w:r>
      <w:r>
        <w:rPr>
          <w:spacing w:val="1"/>
          <w:sz w:val="16"/>
        </w:rPr>
        <w:t> </w:t>
      </w:r>
      <w:r>
        <w:rPr>
          <w:sz w:val="16"/>
        </w:rPr>
        <w:t>the Netherlands: Incidence, Clinical Course, and Quality of</w:t>
      </w:r>
      <w:r>
        <w:rPr>
          <w:spacing w:val="1"/>
          <w:sz w:val="16"/>
        </w:rPr>
        <w:t> </w:t>
      </w:r>
      <w:r>
        <w:rPr>
          <w:sz w:val="16"/>
        </w:rPr>
        <w:t>Life. </w:t>
      </w:r>
      <w:r>
        <w:rPr>
          <w:i/>
          <w:sz w:val="16"/>
        </w:rPr>
        <w:t>The Journal of Pediatrics, 169</w:t>
      </w:r>
      <w:r>
        <w:rPr>
          <w:sz w:val="16"/>
        </w:rPr>
        <w:t>, 110–115.e3.</w:t>
      </w:r>
      <w:r>
        <w:rPr>
          <w:spacing w:val="1"/>
          <w:sz w:val="16"/>
        </w:rPr>
        <w:t> </w:t>
      </w:r>
      <w:r>
        <w:rPr>
          <w:sz w:val="16"/>
        </w:rPr>
        <w:t>https://doi.org/10.1016/j.jpeds.2015.10.057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  <w:tab w:pos="501" w:val="left" w:leader="none"/>
        </w:tabs>
        <w:spacing w:line="240" w:lineRule="auto" w:before="0" w:after="0"/>
        <w:ind w:left="500" w:right="173" w:hanging="361"/>
        <w:jc w:val="left"/>
        <w:rPr>
          <w:sz w:val="16"/>
        </w:rPr>
      </w:pPr>
      <w:r>
        <w:rPr>
          <w:sz w:val="16"/>
        </w:rPr>
        <w:t>Gockel, I., Becker, J., Wouters, M., Niebisch, S., Gockel, H.,</w:t>
      </w:r>
      <w:r>
        <w:rPr>
          <w:spacing w:val="1"/>
          <w:sz w:val="16"/>
        </w:rPr>
        <w:t> </w:t>
      </w:r>
      <w:r>
        <w:rPr>
          <w:sz w:val="16"/>
        </w:rPr>
        <w:t>Hess, T., Ramonet, D., Zimmermann, J., Vigo, A. G., Trynka,</w:t>
      </w:r>
      <w:r>
        <w:rPr>
          <w:spacing w:val="1"/>
          <w:sz w:val="16"/>
        </w:rPr>
        <w:t> </w:t>
      </w:r>
      <w:r>
        <w:rPr>
          <w:sz w:val="16"/>
        </w:rPr>
        <w:t>G.,</w:t>
      </w:r>
      <w:r>
        <w:rPr>
          <w:spacing w:val="-8"/>
          <w:sz w:val="16"/>
        </w:rPr>
        <w:t> </w:t>
      </w:r>
      <w:r>
        <w:rPr>
          <w:sz w:val="16"/>
        </w:rPr>
        <w:t>De</w:t>
      </w:r>
      <w:r>
        <w:rPr>
          <w:spacing w:val="-6"/>
          <w:sz w:val="16"/>
        </w:rPr>
        <w:t> </w:t>
      </w:r>
      <w:r>
        <w:rPr>
          <w:sz w:val="16"/>
        </w:rPr>
        <w:t>Leon,</w:t>
      </w:r>
      <w:r>
        <w:rPr>
          <w:spacing w:val="-6"/>
          <w:sz w:val="16"/>
        </w:rPr>
        <w:t> </w:t>
      </w:r>
      <w:r>
        <w:rPr>
          <w:sz w:val="16"/>
        </w:rPr>
        <w:t>A.,</w:t>
      </w:r>
      <w:r>
        <w:rPr>
          <w:spacing w:val="-7"/>
          <w:sz w:val="16"/>
        </w:rPr>
        <w:t> </w:t>
      </w:r>
      <w:r>
        <w:rPr>
          <w:sz w:val="16"/>
        </w:rPr>
        <w:t>De</w:t>
      </w:r>
      <w:r>
        <w:rPr>
          <w:spacing w:val="-6"/>
          <w:sz w:val="16"/>
        </w:rPr>
        <w:t> </w:t>
      </w:r>
      <w:r>
        <w:rPr>
          <w:sz w:val="16"/>
        </w:rPr>
        <w:t>la</w:t>
      </w:r>
      <w:r>
        <w:rPr>
          <w:spacing w:val="-8"/>
          <w:sz w:val="16"/>
        </w:rPr>
        <w:t> </w:t>
      </w:r>
      <w:r>
        <w:rPr>
          <w:sz w:val="16"/>
        </w:rPr>
        <w:t>Serna,</w:t>
      </w:r>
      <w:r>
        <w:rPr>
          <w:spacing w:val="-3"/>
          <w:sz w:val="16"/>
        </w:rPr>
        <w:t> </w:t>
      </w:r>
      <w:r>
        <w:rPr>
          <w:sz w:val="16"/>
        </w:rPr>
        <w:t>J.,</w:t>
      </w:r>
      <w:r>
        <w:rPr>
          <w:spacing w:val="-7"/>
          <w:sz w:val="16"/>
        </w:rPr>
        <w:t> </w:t>
      </w:r>
      <w:r>
        <w:rPr>
          <w:sz w:val="16"/>
        </w:rPr>
        <w:t>Urcelay,</w:t>
      </w:r>
      <w:r>
        <w:rPr>
          <w:spacing w:val="-6"/>
          <w:sz w:val="16"/>
        </w:rPr>
        <w:t> </w:t>
      </w:r>
      <w:r>
        <w:rPr>
          <w:sz w:val="16"/>
        </w:rPr>
        <w:t>E.,</w:t>
      </w:r>
      <w:r>
        <w:rPr>
          <w:spacing w:val="-7"/>
          <w:sz w:val="16"/>
        </w:rPr>
        <w:t> </w:t>
      </w:r>
      <w:r>
        <w:rPr>
          <w:sz w:val="16"/>
        </w:rPr>
        <w:t>Kumar,</w:t>
      </w:r>
      <w:r>
        <w:rPr>
          <w:spacing w:val="-6"/>
          <w:sz w:val="16"/>
        </w:rPr>
        <w:t> </w:t>
      </w:r>
      <w:r>
        <w:rPr>
          <w:sz w:val="16"/>
        </w:rPr>
        <w:t>V.,</w:t>
      </w:r>
      <w:r>
        <w:rPr>
          <w:spacing w:val="-8"/>
          <w:sz w:val="16"/>
        </w:rPr>
        <w:t> </w:t>
      </w:r>
      <w:r>
        <w:rPr>
          <w:sz w:val="16"/>
        </w:rPr>
        <w:t>Franke,</w:t>
      </w:r>
      <w:r>
        <w:rPr>
          <w:spacing w:val="-33"/>
          <w:sz w:val="16"/>
        </w:rPr>
        <w:t> </w:t>
      </w:r>
      <w:r>
        <w:rPr>
          <w:sz w:val="16"/>
        </w:rPr>
        <w:t>L.,</w:t>
      </w:r>
      <w:r>
        <w:rPr>
          <w:spacing w:val="-6"/>
          <w:sz w:val="16"/>
        </w:rPr>
        <w:t> </w:t>
      </w:r>
      <w:r>
        <w:rPr>
          <w:sz w:val="16"/>
        </w:rPr>
        <w:t>Westra,</w:t>
      </w:r>
      <w:r>
        <w:rPr>
          <w:spacing w:val="-5"/>
          <w:sz w:val="16"/>
        </w:rPr>
        <w:t> </w:t>
      </w:r>
      <w:r>
        <w:rPr>
          <w:sz w:val="16"/>
        </w:rPr>
        <w:t>H.,</w:t>
      </w:r>
      <w:r>
        <w:rPr>
          <w:spacing w:val="-6"/>
          <w:sz w:val="16"/>
        </w:rPr>
        <w:t> </w:t>
      </w:r>
      <w:r>
        <w:rPr>
          <w:sz w:val="16"/>
        </w:rPr>
        <w:t>Drescher,</w:t>
      </w:r>
      <w:r>
        <w:rPr>
          <w:spacing w:val="-5"/>
          <w:sz w:val="16"/>
        </w:rPr>
        <w:t> </w:t>
      </w:r>
      <w:r>
        <w:rPr>
          <w:sz w:val="16"/>
        </w:rPr>
        <w:t>D.,</w:t>
      </w:r>
      <w:r>
        <w:rPr>
          <w:spacing w:val="-5"/>
          <w:sz w:val="16"/>
        </w:rPr>
        <w:t> </w:t>
      </w:r>
      <w:r>
        <w:rPr>
          <w:sz w:val="16"/>
        </w:rPr>
        <w:t>Kneist,</w:t>
      </w:r>
      <w:r>
        <w:rPr>
          <w:spacing w:val="-5"/>
          <w:sz w:val="16"/>
        </w:rPr>
        <w:t> </w:t>
      </w:r>
      <w:r>
        <w:rPr>
          <w:sz w:val="16"/>
        </w:rPr>
        <w:t>W.,</w:t>
      </w:r>
      <w:r>
        <w:rPr>
          <w:spacing w:val="-6"/>
          <w:sz w:val="16"/>
        </w:rPr>
        <w:t> </w:t>
      </w:r>
      <w:r>
        <w:rPr>
          <w:sz w:val="16"/>
        </w:rPr>
        <w:t>Marquardt,</w:t>
      </w:r>
      <w:r>
        <w:rPr>
          <w:spacing w:val="-5"/>
          <w:sz w:val="16"/>
        </w:rPr>
        <w:t> </w:t>
      </w:r>
      <w:r>
        <w:rPr>
          <w:sz w:val="16"/>
        </w:rPr>
        <w:t>J.</w:t>
      </w:r>
      <w:r>
        <w:rPr>
          <w:spacing w:val="-6"/>
          <w:sz w:val="16"/>
        </w:rPr>
        <w:t> </w:t>
      </w:r>
      <w:r>
        <w:rPr>
          <w:sz w:val="16"/>
        </w:rPr>
        <w:t>U.,</w:t>
      </w:r>
    </w:p>
    <w:p>
      <w:pPr>
        <w:spacing w:before="0"/>
        <w:ind w:left="500" w:right="322" w:firstLine="0"/>
        <w:jc w:val="left"/>
        <w:rPr>
          <w:i/>
          <w:sz w:val="16"/>
        </w:rPr>
      </w:pPr>
      <w:r>
        <w:rPr>
          <w:sz w:val="16"/>
        </w:rPr>
        <w:t>Schumacher, J. (2014). Common variants in the HLA-DQ</w:t>
      </w:r>
      <w:r>
        <w:rPr>
          <w:spacing w:val="1"/>
          <w:sz w:val="16"/>
        </w:rPr>
        <w:t> </w:t>
      </w:r>
      <w:r>
        <w:rPr>
          <w:sz w:val="16"/>
        </w:rPr>
        <w:t>region</w:t>
      </w:r>
      <w:r>
        <w:rPr>
          <w:spacing w:val="-6"/>
          <w:sz w:val="16"/>
        </w:rPr>
        <w:t> </w:t>
      </w:r>
      <w:r>
        <w:rPr>
          <w:sz w:val="16"/>
        </w:rPr>
        <w:t>confer</w:t>
      </w:r>
      <w:r>
        <w:rPr>
          <w:spacing w:val="-7"/>
          <w:sz w:val="16"/>
        </w:rPr>
        <w:t> </w:t>
      </w:r>
      <w:r>
        <w:rPr>
          <w:sz w:val="16"/>
        </w:rPr>
        <w:t>susceptibility</w:t>
      </w:r>
      <w:r>
        <w:rPr>
          <w:spacing w:val="-8"/>
          <w:sz w:val="16"/>
        </w:rPr>
        <w:t> </w:t>
      </w:r>
      <w:r>
        <w:rPr>
          <w:sz w:val="16"/>
        </w:rPr>
        <w:t>to</w:t>
      </w:r>
      <w:r>
        <w:rPr>
          <w:spacing w:val="-6"/>
          <w:sz w:val="16"/>
        </w:rPr>
        <w:t> </w:t>
      </w:r>
      <w:r>
        <w:rPr>
          <w:sz w:val="16"/>
        </w:rPr>
        <w:t>idiopathic</w:t>
      </w:r>
      <w:r>
        <w:rPr>
          <w:spacing w:val="-5"/>
          <w:sz w:val="16"/>
        </w:rPr>
        <w:t> </w:t>
      </w:r>
      <w:r>
        <w:rPr>
          <w:sz w:val="16"/>
        </w:rPr>
        <w:t>achalasia.</w:t>
      </w:r>
      <w:r>
        <w:rPr>
          <w:spacing w:val="-2"/>
          <w:sz w:val="16"/>
        </w:rPr>
        <w:t> </w:t>
      </w:r>
      <w:r>
        <w:rPr>
          <w:i/>
          <w:sz w:val="16"/>
        </w:rPr>
        <w:t>Nature</w:t>
      </w:r>
    </w:p>
    <w:p>
      <w:pPr>
        <w:spacing w:line="195" w:lineRule="exact" w:before="0"/>
        <w:ind w:left="500" w:right="0" w:firstLine="0"/>
        <w:jc w:val="left"/>
        <w:rPr>
          <w:sz w:val="16"/>
        </w:rPr>
      </w:pPr>
      <w:r>
        <w:rPr>
          <w:i/>
          <w:sz w:val="16"/>
        </w:rPr>
        <w:t>Genetics,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46</w:t>
      </w:r>
      <w:r>
        <w:rPr>
          <w:sz w:val="16"/>
        </w:rPr>
        <w:t>(8),</w:t>
      </w:r>
      <w:r>
        <w:rPr>
          <w:spacing w:val="-8"/>
          <w:sz w:val="16"/>
        </w:rPr>
        <w:t> </w:t>
      </w:r>
      <w:r>
        <w:rPr>
          <w:sz w:val="16"/>
        </w:rPr>
        <w:t>901–904.</w:t>
      </w:r>
      <w:r>
        <w:rPr>
          <w:spacing w:val="-9"/>
          <w:sz w:val="16"/>
        </w:rPr>
        <w:t> </w:t>
      </w:r>
      <w:r>
        <w:rPr>
          <w:sz w:val="16"/>
        </w:rPr>
        <w:t>https://doi.org/10.1038/ng.3029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  <w:tab w:pos="501" w:val="left" w:leader="none"/>
        </w:tabs>
        <w:spacing w:line="240" w:lineRule="auto" w:before="0" w:after="0"/>
        <w:ind w:left="500" w:right="179" w:hanging="361"/>
        <w:jc w:val="left"/>
        <w:rPr>
          <w:sz w:val="16"/>
        </w:rPr>
      </w:pPr>
      <w:r>
        <w:rPr>
          <w:sz w:val="16"/>
        </w:rPr>
        <w:t>Franklin,</w:t>
      </w:r>
      <w:r>
        <w:rPr>
          <w:spacing w:val="-4"/>
          <w:sz w:val="16"/>
        </w:rPr>
        <w:t> </w:t>
      </w:r>
      <w:r>
        <w:rPr>
          <w:sz w:val="16"/>
        </w:rPr>
        <w:t>A.</w:t>
      </w:r>
      <w:r>
        <w:rPr>
          <w:spacing w:val="-5"/>
          <w:sz w:val="16"/>
        </w:rPr>
        <w:t> </w:t>
      </w:r>
      <w:r>
        <w:rPr>
          <w:sz w:val="16"/>
        </w:rPr>
        <w:t>L.</w:t>
      </w:r>
      <w:r>
        <w:rPr>
          <w:spacing w:val="-5"/>
          <w:sz w:val="16"/>
        </w:rPr>
        <w:t> </w:t>
      </w:r>
      <w:r>
        <w:rPr>
          <w:sz w:val="16"/>
        </w:rPr>
        <w:t>(2014).</w:t>
      </w:r>
      <w:r>
        <w:rPr>
          <w:spacing w:val="-5"/>
          <w:sz w:val="16"/>
        </w:rPr>
        <w:t> </w:t>
      </w:r>
      <w:r>
        <w:rPr>
          <w:sz w:val="16"/>
        </w:rPr>
        <w:t>Childhood</w:t>
      </w:r>
      <w:r>
        <w:rPr>
          <w:spacing w:val="-4"/>
          <w:sz w:val="16"/>
        </w:rPr>
        <w:t> </w:t>
      </w:r>
      <w:r>
        <w:rPr>
          <w:sz w:val="16"/>
        </w:rPr>
        <w:t>achalasia:</w:t>
      </w:r>
      <w:r>
        <w:rPr>
          <w:spacing w:val="-3"/>
          <w:sz w:val="16"/>
        </w:rPr>
        <w:t> </w:t>
      </w:r>
      <w:r>
        <w:rPr>
          <w:sz w:val="16"/>
        </w:rPr>
        <w:t>A</w:t>
      </w:r>
      <w:r>
        <w:rPr>
          <w:spacing w:val="-2"/>
          <w:sz w:val="16"/>
        </w:rPr>
        <w:t> </w:t>
      </w:r>
      <w:r>
        <w:rPr>
          <w:sz w:val="16"/>
        </w:rPr>
        <w:t>comprehensive</w:t>
      </w:r>
      <w:r>
        <w:rPr>
          <w:spacing w:val="-33"/>
          <w:sz w:val="16"/>
        </w:rPr>
        <w:t> </w:t>
      </w:r>
      <w:r>
        <w:rPr>
          <w:sz w:val="16"/>
        </w:rPr>
        <w:t>review of disease, diagnosis and therapeutic management.</w:t>
      </w:r>
      <w:r>
        <w:rPr>
          <w:spacing w:val="1"/>
          <w:sz w:val="16"/>
        </w:rPr>
        <w:t> </w:t>
      </w:r>
      <w:r>
        <w:rPr>
          <w:i/>
          <w:sz w:val="16"/>
        </w:rPr>
        <w:t>World Journal of Gastrointestinal Endoscopy, 6</w:t>
      </w:r>
      <w:r>
        <w:rPr>
          <w:sz w:val="16"/>
        </w:rPr>
        <w:t>(4), 105.</w:t>
      </w:r>
      <w:r>
        <w:rPr>
          <w:spacing w:val="1"/>
          <w:sz w:val="16"/>
        </w:rPr>
        <w:t> </w:t>
      </w:r>
      <w:r>
        <w:rPr>
          <w:sz w:val="16"/>
        </w:rPr>
        <w:t>https://doi.org/10.4253/wjge.v6.i4.105</w:t>
      </w:r>
    </w:p>
    <w:p>
      <w:pPr>
        <w:pStyle w:val="ListParagraph"/>
        <w:numPr>
          <w:ilvl w:val="0"/>
          <w:numId w:val="2"/>
        </w:numPr>
        <w:tabs>
          <w:tab w:pos="500" w:val="left" w:leader="none"/>
          <w:tab w:pos="501" w:val="left" w:leader="none"/>
        </w:tabs>
        <w:spacing w:line="195" w:lineRule="exact" w:before="0" w:after="0"/>
        <w:ind w:left="500" w:right="0" w:hanging="361"/>
        <w:jc w:val="left"/>
        <w:rPr>
          <w:sz w:val="16"/>
        </w:rPr>
      </w:pPr>
      <w:r>
        <w:rPr>
          <w:spacing w:val="-1"/>
          <w:sz w:val="16"/>
        </w:rPr>
        <w:t>Taft,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T.,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Carlson,</w:t>
      </w:r>
      <w:r>
        <w:rPr>
          <w:spacing w:val="-7"/>
          <w:sz w:val="16"/>
        </w:rPr>
        <w:t> </w:t>
      </w:r>
      <w:r>
        <w:rPr>
          <w:spacing w:val="-1"/>
          <w:sz w:val="16"/>
        </w:rPr>
        <w:t>D.,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Triggs,</w:t>
      </w:r>
      <w:r>
        <w:rPr>
          <w:spacing w:val="-7"/>
          <w:sz w:val="16"/>
        </w:rPr>
        <w:t> </w:t>
      </w:r>
      <w:r>
        <w:rPr>
          <w:sz w:val="16"/>
        </w:rPr>
        <w:t>J.,</w:t>
      </w:r>
      <w:r>
        <w:rPr>
          <w:spacing w:val="-8"/>
          <w:sz w:val="16"/>
        </w:rPr>
        <w:t> </w:t>
      </w:r>
      <w:r>
        <w:rPr>
          <w:sz w:val="16"/>
        </w:rPr>
        <w:t>Craft,</w:t>
      </w:r>
      <w:r>
        <w:rPr>
          <w:spacing w:val="-7"/>
          <w:sz w:val="16"/>
        </w:rPr>
        <w:t> </w:t>
      </w:r>
      <w:r>
        <w:rPr>
          <w:sz w:val="16"/>
        </w:rPr>
        <w:t>J.,</w:t>
      </w:r>
      <w:r>
        <w:rPr>
          <w:spacing w:val="-8"/>
          <w:sz w:val="16"/>
        </w:rPr>
        <w:t> </w:t>
      </w:r>
      <w:r>
        <w:rPr>
          <w:sz w:val="16"/>
        </w:rPr>
        <w:t>Starkey,</w:t>
      </w:r>
      <w:r>
        <w:rPr>
          <w:spacing w:val="-7"/>
          <w:sz w:val="16"/>
        </w:rPr>
        <w:t> </w:t>
      </w:r>
      <w:r>
        <w:rPr>
          <w:sz w:val="16"/>
        </w:rPr>
        <w:t>K.,</w:t>
      </w:r>
      <w:r>
        <w:rPr>
          <w:spacing w:val="-8"/>
          <w:sz w:val="16"/>
        </w:rPr>
        <w:t> </w:t>
      </w:r>
      <w:r>
        <w:rPr>
          <w:sz w:val="16"/>
        </w:rPr>
        <w:t>Yadlapati,</w:t>
      </w:r>
    </w:p>
    <w:p>
      <w:pPr>
        <w:spacing w:line="242" w:lineRule="auto" w:before="0"/>
        <w:ind w:left="500" w:right="322" w:firstLine="0"/>
        <w:jc w:val="left"/>
        <w:rPr>
          <w:sz w:val="16"/>
        </w:rPr>
      </w:pPr>
      <w:r>
        <w:rPr>
          <w:sz w:val="16"/>
        </w:rPr>
        <w:t>R., Gregory, D., &amp; Pandolfino, J. (2018). Evaluating the</w:t>
      </w:r>
      <w:r>
        <w:rPr>
          <w:spacing w:val="1"/>
          <w:sz w:val="16"/>
        </w:rPr>
        <w:t> </w:t>
      </w:r>
      <w:r>
        <w:rPr>
          <w:sz w:val="16"/>
        </w:rPr>
        <w:t>reliability</w:t>
      </w:r>
      <w:r>
        <w:rPr>
          <w:spacing w:val="-9"/>
          <w:sz w:val="16"/>
        </w:rPr>
        <w:t> </w:t>
      </w:r>
      <w:r>
        <w:rPr>
          <w:sz w:val="16"/>
        </w:rPr>
        <w:t>and</w:t>
      </w:r>
      <w:r>
        <w:rPr>
          <w:spacing w:val="-5"/>
          <w:sz w:val="16"/>
        </w:rPr>
        <w:t> </w:t>
      </w:r>
      <w:r>
        <w:rPr>
          <w:sz w:val="16"/>
        </w:rPr>
        <w:t>construct</w:t>
      </w:r>
      <w:r>
        <w:rPr>
          <w:spacing w:val="-5"/>
          <w:sz w:val="16"/>
        </w:rPr>
        <w:t> </w:t>
      </w:r>
      <w:r>
        <w:rPr>
          <w:sz w:val="16"/>
        </w:rPr>
        <w:t>validity</w:t>
      </w:r>
      <w:r>
        <w:rPr>
          <w:spacing w:val="-8"/>
          <w:sz w:val="16"/>
        </w:rPr>
        <w:t> </w:t>
      </w:r>
      <w:r>
        <w:rPr>
          <w:sz w:val="16"/>
        </w:rPr>
        <w:t>of</w:t>
      </w:r>
      <w:r>
        <w:rPr>
          <w:spacing w:val="-5"/>
          <w:sz w:val="16"/>
        </w:rPr>
        <w:t> </w:t>
      </w:r>
      <w:r>
        <w:rPr>
          <w:sz w:val="16"/>
        </w:rPr>
        <w:t>the</w:t>
      </w:r>
      <w:r>
        <w:rPr>
          <w:spacing w:val="-6"/>
          <w:sz w:val="16"/>
        </w:rPr>
        <w:t> </w:t>
      </w:r>
      <w:r>
        <w:rPr>
          <w:sz w:val="16"/>
        </w:rPr>
        <w:t>Eckardt</w:t>
      </w:r>
      <w:r>
        <w:rPr>
          <w:spacing w:val="-4"/>
          <w:sz w:val="16"/>
        </w:rPr>
        <w:t> </w:t>
      </w:r>
      <w:r>
        <w:rPr>
          <w:sz w:val="16"/>
        </w:rPr>
        <w:t>symptom</w:t>
      </w:r>
      <w:r>
        <w:rPr>
          <w:spacing w:val="-33"/>
          <w:sz w:val="16"/>
        </w:rPr>
        <w:t> </w:t>
      </w:r>
      <w:r>
        <w:rPr>
          <w:sz w:val="16"/>
        </w:rPr>
        <w:t>score</w:t>
      </w:r>
      <w:r>
        <w:rPr>
          <w:spacing w:val="-2"/>
          <w:sz w:val="16"/>
        </w:rPr>
        <w:t> </w:t>
      </w:r>
      <w:r>
        <w:rPr>
          <w:sz w:val="16"/>
        </w:rPr>
        <w:t>as a</w:t>
      </w:r>
      <w:r>
        <w:rPr>
          <w:spacing w:val="-4"/>
          <w:sz w:val="16"/>
        </w:rPr>
        <w:t> </w:t>
      </w:r>
      <w:r>
        <w:rPr>
          <w:sz w:val="16"/>
        </w:rPr>
        <w:t>measure</w:t>
      </w:r>
      <w:r>
        <w:rPr>
          <w:spacing w:val="-1"/>
          <w:sz w:val="16"/>
        </w:rPr>
        <w:t> </w:t>
      </w:r>
      <w:r>
        <w:rPr>
          <w:sz w:val="16"/>
        </w:rPr>
        <w:t>of</w:t>
      </w:r>
      <w:r>
        <w:rPr>
          <w:spacing w:val="-2"/>
          <w:sz w:val="16"/>
        </w:rPr>
        <w:t> </w:t>
      </w:r>
      <w:r>
        <w:rPr>
          <w:sz w:val="16"/>
        </w:rPr>
        <w:t>achalasia</w:t>
      </w:r>
      <w:r>
        <w:rPr>
          <w:spacing w:val="-4"/>
          <w:sz w:val="16"/>
        </w:rPr>
        <w:t> </w:t>
      </w:r>
      <w:r>
        <w:rPr>
          <w:sz w:val="16"/>
        </w:rPr>
        <w:t>severity.</w:t>
      </w:r>
    </w:p>
    <w:p>
      <w:pPr>
        <w:spacing w:before="0"/>
        <w:ind w:left="500" w:right="863" w:firstLine="0"/>
        <w:jc w:val="left"/>
        <w:rPr>
          <w:sz w:val="16"/>
        </w:rPr>
      </w:pPr>
      <w:r>
        <w:rPr>
          <w:i/>
          <w:spacing w:val="-1"/>
          <w:sz w:val="16"/>
        </w:rPr>
        <w:t>Neurogastroenterology </w:t>
      </w:r>
      <w:r>
        <w:rPr>
          <w:i/>
          <w:sz w:val="16"/>
        </w:rPr>
        <w:t>&amp; Motility, 30</w:t>
      </w:r>
      <w:r>
        <w:rPr>
          <w:sz w:val="16"/>
        </w:rPr>
        <w:t>(6), e13287.</w:t>
      </w:r>
      <w:r>
        <w:rPr>
          <w:spacing w:val="-34"/>
          <w:sz w:val="16"/>
        </w:rPr>
        <w:t> </w:t>
      </w:r>
      <w:r>
        <w:rPr>
          <w:sz w:val="16"/>
        </w:rPr>
        <w:t>https://doi.org/10.1111/nmo.13287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0" w:after="0"/>
        <w:ind w:left="500" w:right="178" w:hanging="361"/>
        <w:jc w:val="left"/>
        <w:rPr>
          <w:sz w:val="16"/>
        </w:rPr>
      </w:pPr>
      <w:r>
        <w:rPr>
          <w:sz w:val="16"/>
        </w:rPr>
        <w:t>Laurino-neto, R., Herbella, F., Scholttmann, F., &amp; Patti, M.</w:t>
      </w:r>
      <w:r>
        <w:rPr>
          <w:spacing w:val="1"/>
          <w:sz w:val="16"/>
        </w:rPr>
        <w:t> </w:t>
      </w:r>
      <w:r>
        <w:rPr>
          <w:sz w:val="16"/>
        </w:rPr>
        <w:t>(2018). Evaluation of esophageal achalasia: From symptoms</w:t>
      </w:r>
      <w:r>
        <w:rPr>
          <w:spacing w:val="-34"/>
          <w:sz w:val="16"/>
        </w:rPr>
        <w:t> </w:t>
      </w:r>
      <w:r>
        <w:rPr>
          <w:sz w:val="16"/>
        </w:rPr>
        <w:t>to</w:t>
      </w:r>
      <w:r>
        <w:rPr>
          <w:spacing w:val="-4"/>
          <w:sz w:val="16"/>
        </w:rPr>
        <w:t> </w:t>
      </w:r>
      <w:r>
        <w:rPr>
          <w:sz w:val="16"/>
        </w:rPr>
        <w:t>the</w:t>
      </w:r>
      <w:r>
        <w:rPr>
          <w:spacing w:val="-4"/>
          <w:sz w:val="16"/>
        </w:rPr>
        <w:t> </w:t>
      </w:r>
      <w:r>
        <w:rPr>
          <w:sz w:val="16"/>
        </w:rPr>
        <w:t>Chicago</w:t>
      </w:r>
      <w:r>
        <w:rPr>
          <w:spacing w:val="-4"/>
          <w:sz w:val="16"/>
        </w:rPr>
        <w:t> </w:t>
      </w:r>
      <w:r>
        <w:rPr>
          <w:sz w:val="16"/>
        </w:rPr>
        <w:t>classification.</w:t>
      </w:r>
      <w:r>
        <w:rPr>
          <w:spacing w:val="-4"/>
          <w:sz w:val="16"/>
        </w:rPr>
        <w:t> </w:t>
      </w:r>
      <w:r>
        <w:rPr>
          <w:i/>
          <w:sz w:val="16"/>
        </w:rPr>
        <w:t>Arquibos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Brasileiros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Cirurgia</w:t>
      </w:r>
      <w:r>
        <w:rPr>
          <w:i/>
          <w:spacing w:val="-33"/>
          <w:sz w:val="16"/>
        </w:rPr>
        <w:t> </w:t>
      </w:r>
      <w:r>
        <w:rPr>
          <w:i/>
          <w:sz w:val="16"/>
        </w:rPr>
        <w:t>Digestiva (Sao Paulo), 31</w:t>
      </w:r>
      <w:r>
        <w:rPr>
          <w:sz w:val="16"/>
        </w:rPr>
        <w:t>(2). https://doi.org/10.1590/0102-</w:t>
      </w:r>
      <w:r>
        <w:rPr>
          <w:spacing w:val="1"/>
          <w:sz w:val="16"/>
        </w:rPr>
        <w:t> </w:t>
      </w:r>
      <w:r>
        <w:rPr>
          <w:sz w:val="16"/>
        </w:rPr>
        <w:t>672020180001e1376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0" w:after="0"/>
        <w:ind w:left="500" w:right="409" w:hanging="361"/>
        <w:jc w:val="left"/>
        <w:rPr>
          <w:sz w:val="16"/>
        </w:rPr>
      </w:pPr>
      <w:r>
        <w:rPr>
          <w:sz w:val="16"/>
        </w:rPr>
        <w:t>Hurwitz,</w:t>
      </w:r>
      <w:r>
        <w:rPr>
          <w:spacing w:val="-8"/>
          <w:sz w:val="16"/>
        </w:rPr>
        <w:t> </w:t>
      </w:r>
      <w:r>
        <w:rPr>
          <w:sz w:val="16"/>
        </w:rPr>
        <w:t>M.,</w:t>
      </w:r>
      <w:r>
        <w:rPr>
          <w:spacing w:val="-9"/>
          <w:sz w:val="16"/>
        </w:rPr>
        <w:t> </w:t>
      </w:r>
      <w:r>
        <w:rPr>
          <w:sz w:val="16"/>
        </w:rPr>
        <w:t>Bahar,</w:t>
      </w:r>
      <w:r>
        <w:rPr>
          <w:spacing w:val="-8"/>
          <w:sz w:val="16"/>
        </w:rPr>
        <w:t> </w:t>
      </w:r>
      <w:r>
        <w:rPr>
          <w:sz w:val="16"/>
        </w:rPr>
        <w:t>R.,</w:t>
      </w:r>
      <w:r>
        <w:rPr>
          <w:spacing w:val="-8"/>
          <w:sz w:val="16"/>
        </w:rPr>
        <w:t> </w:t>
      </w:r>
      <w:r>
        <w:rPr>
          <w:sz w:val="16"/>
        </w:rPr>
        <w:t>Ament,</w:t>
      </w:r>
      <w:r>
        <w:rPr>
          <w:spacing w:val="-8"/>
          <w:sz w:val="16"/>
        </w:rPr>
        <w:t> </w:t>
      </w:r>
      <w:r>
        <w:rPr>
          <w:sz w:val="16"/>
        </w:rPr>
        <w:t>M.,</w:t>
      </w:r>
      <w:r>
        <w:rPr>
          <w:spacing w:val="-8"/>
          <w:sz w:val="16"/>
        </w:rPr>
        <w:t> </w:t>
      </w:r>
      <w:r>
        <w:rPr>
          <w:sz w:val="16"/>
        </w:rPr>
        <w:t>Tolia,</w:t>
      </w:r>
      <w:r>
        <w:rPr>
          <w:spacing w:val="-6"/>
          <w:sz w:val="16"/>
        </w:rPr>
        <w:t> </w:t>
      </w:r>
      <w:r>
        <w:rPr>
          <w:sz w:val="16"/>
        </w:rPr>
        <w:t>V.,</w:t>
      </w:r>
      <w:r>
        <w:rPr>
          <w:spacing w:val="-9"/>
          <w:sz w:val="16"/>
        </w:rPr>
        <w:t> </w:t>
      </w:r>
      <w:r>
        <w:rPr>
          <w:sz w:val="16"/>
        </w:rPr>
        <w:t>Molleston,</w:t>
      </w:r>
      <w:r>
        <w:rPr>
          <w:spacing w:val="-8"/>
          <w:sz w:val="16"/>
        </w:rPr>
        <w:t> </w:t>
      </w:r>
      <w:r>
        <w:rPr>
          <w:sz w:val="16"/>
        </w:rPr>
        <w:t>J.,</w:t>
      </w:r>
      <w:r>
        <w:rPr>
          <w:spacing w:val="-33"/>
          <w:sz w:val="16"/>
        </w:rPr>
        <w:t> </w:t>
      </w:r>
      <w:r>
        <w:rPr>
          <w:sz w:val="16"/>
        </w:rPr>
        <w:t>Reinstein, L. J., Walton, J., Erhart, N., Wasserman, D.,</w:t>
      </w:r>
      <w:r>
        <w:rPr>
          <w:spacing w:val="1"/>
          <w:sz w:val="16"/>
        </w:rPr>
        <w:t> </w:t>
      </w:r>
      <w:r>
        <w:rPr>
          <w:sz w:val="16"/>
        </w:rPr>
        <w:t>Justinich,</w:t>
      </w:r>
      <w:r>
        <w:rPr>
          <w:spacing w:val="-5"/>
          <w:sz w:val="16"/>
        </w:rPr>
        <w:t> </w:t>
      </w:r>
      <w:r>
        <w:rPr>
          <w:sz w:val="16"/>
        </w:rPr>
        <w:t>C.,</w:t>
      </w:r>
      <w:r>
        <w:rPr>
          <w:spacing w:val="-4"/>
          <w:sz w:val="16"/>
        </w:rPr>
        <w:t> </w:t>
      </w:r>
      <w:r>
        <w:rPr>
          <w:sz w:val="16"/>
        </w:rPr>
        <w:t>&amp;</w:t>
      </w:r>
      <w:r>
        <w:rPr>
          <w:spacing w:val="-4"/>
          <w:sz w:val="16"/>
        </w:rPr>
        <w:t> </w:t>
      </w:r>
      <w:r>
        <w:rPr>
          <w:sz w:val="16"/>
        </w:rPr>
        <w:t>Vargas,</w:t>
      </w:r>
      <w:r>
        <w:rPr>
          <w:spacing w:val="-4"/>
          <w:sz w:val="16"/>
        </w:rPr>
        <w:t> </w:t>
      </w:r>
      <w:r>
        <w:rPr>
          <w:sz w:val="16"/>
        </w:rPr>
        <w:t>J.</w:t>
      </w:r>
      <w:r>
        <w:rPr>
          <w:spacing w:val="-5"/>
          <w:sz w:val="16"/>
        </w:rPr>
        <w:t> </w:t>
      </w:r>
      <w:r>
        <w:rPr>
          <w:sz w:val="16"/>
        </w:rPr>
        <w:t>(2000).</w:t>
      </w:r>
      <w:r>
        <w:rPr>
          <w:spacing w:val="-5"/>
          <w:sz w:val="16"/>
        </w:rPr>
        <w:t> </w:t>
      </w:r>
      <w:r>
        <w:rPr>
          <w:sz w:val="16"/>
        </w:rPr>
        <w:t>Evaluation</w:t>
      </w:r>
      <w:r>
        <w:rPr>
          <w:spacing w:val="-4"/>
          <w:sz w:val="16"/>
        </w:rPr>
        <w:t> </w:t>
      </w:r>
      <w:r>
        <w:rPr>
          <w:sz w:val="16"/>
        </w:rPr>
        <w:t>of</w:t>
      </w:r>
      <w:r>
        <w:rPr>
          <w:spacing w:val="-4"/>
          <w:sz w:val="16"/>
        </w:rPr>
        <w:t> </w:t>
      </w:r>
      <w:r>
        <w:rPr>
          <w:sz w:val="16"/>
        </w:rPr>
        <w:t>the</w:t>
      </w:r>
      <w:r>
        <w:rPr>
          <w:spacing w:val="-4"/>
          <w:sz w:val="16"/>
        </w:rPr>
        <w:t> </w:t>
      </w:r>
      <w:r>
        <w:rPr>
          <w:sz w:val="16"/>
        </w:rPr>
        <w:t>use</w:t>
      </w:r>
      <w:r>
        <w:rPr>
          <w:spacing w:val="-4"/>
          <w:sz w:val="16"/>
        </w:rPr>
        <w:t> </w:t>
      </w:r>
      <w:r>
        <w:rPr>
          <w:sz w:val="16"/>
        </w:rPr>
        <w:t>of</w:t>
      </w:r>
    </w:p>
    <w:p>
      <w:pPr>
        <w:spacing w:after="0" w:line="240" w:lineRule="auto"/>
        <w:jc w:val="left"/>
        <w:rPr>
          <w:sz w:val="16"/>
        </w:rPr>
        <w:sectPr>
          <w:pgSz w:w="12240" w:h="15840"/>
          <w:pgMar w:header="0" w:footer="769" w:top="1380" w:bottom="960" w:left="1300" w:right="1320"/>
          <w:cols w:num="2" w:equalWidth="0">
            <w:col w:w="4514" w:space="523"/>
            <w:col w:w="4583"/>
          </w:cols>
        </w:sectPr>
      </w:pPr>
    </w:p>
    <w:p>
      <w:pPr>
        <w:spacing w:before="38"/>
        <w:ind w:left="500" w:right="5380" w:firstLine="0"/>
        <w:jc w:val="left"/>
        <w:rPr>
          <w:sz w:val="16"/>
        </w:rPr>
      </w:pPr>
      <w:r>
        <w:rPr>
          <w:sz w:val="16"/>
        </w:rPr>
        <w:t>botulinum toxin in children with achalasia. </w:t>
      </w:r>
      <w:r>
        <w:rPr>
          <w:i/>
          <w:sz w:val="16"/>
        </w:rPr>
        <w:t>Journal of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Pediatric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Gastroenterology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and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Nutrition,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30</w:t>
      </w:r>
      <w:r>
        <w:rPr>
          <w:sz w:val="16"/>
        </w:rPr>
        <w:t>(5),</w:t>
      </w:r>
      <w:r>
        <w:rPr>
          <w:spacing w:val="-7"/>
          <w:sz w:val="16"/>
        </w:rPr>
        <w:t> </w:t>
      </w:r>
      <w:r>
        <w:rPr>
          <w:sz w:val="16"/>
        </w:rPr>
        <w:t>509–514.</w:t>
      </w:r>
      <w:r>
        <w:rPr>
          <w:spacing w:val="-33"/>
          <w:sz w:val="16"/>
        </w:rPr>
        <w:t> </w:t>
      </w:r>
      <w:r>
        <w:rPr>
          <w:sz w:val="16"/>
        </w:rPr>
        <w:t>https://doi.org/10.1097/00005176-200005000-00009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0" w:after="0"/>
        <w:ind w:left="500" w:right="5379" w:hanging="361"/>
        <w:jc w:val="left"/>
        <w:rPr>
          <w:sz w:val="16"/>
        </w:rPr>
      </w:pPr>
      <w:r>
        <w:rPr>
          <w:sz w:val="16"/>
        </w:rPr>
        <w:t>Savarino, E., Gemignani, L., Zentilin, P., de Bortoli, N.,</w:t>
      </w:r>
      <w:r>
        <w:rPr>
          <w:spacing w:val="1"/>
          <w:sz w:val="16"/>
        </w:rPr>
        <w:t> </w:t>
      </w:r>
      <w:r>
        <w:rPr>
          <w:sz w:val="16"/>
        </w:rPr>
        <w:t>Malesci,</w:t>
      </w:r>
      <w:r>
        <w:rPr>
          <w:spacing w:val="-6"/>
          <w:sz w:val="16"/>
        </w:rPr>
        <w:t> </w:t>
      </w:r>
      <w:r>
        <w:rPr>
          <w:sz w:val="16"/>
        </w:rPr>
        <w:t>A.,</w:t>
      </w:r>
      <w:r>
        <w:rPr>
          <w:spacing w:val="-7"/>
          <w:sz w:val="16"/>
        </w:rPr>
        <w:t> </w:t>
      </w:r>
      <w:r>
        <w:rPr>
          <w:sz w:val="16"/>
        </w:rPr>
        <w:t>Mastracci,</w:t>
      </w:r>
      <w:r>
        <w:rPr>
          <w:spacing w:val="-6"/>
          <w:sz w:val="16"/>
        </w:rPr>
        <w:t> </w:t>
      </w:r>
      <w:r>
        <w:rPr>
          <w:sz w:val="16"/>
        </w:rPr>
        <w:t>L.,</w:t>
      </w:r>
      <w:r>
        <w:rPr>
          <w:spacing w:val="-7"/>
          <w:sz w:val="16"/>
        </w:rPr>
        <w:t> </w:t>
      </w:r>
      <w:r>
        <w:rPr>
          <w:sz w:val="16"/>
        </w:rPr>
        <w:t>Fiocca,</w:t>
      </w:r>
      <w:r>
        <w:rPr>
          <w:spacing w:val="-2"/>
          <w:sz w:val="16"/>
        </w:rPr>
        <w:t> </w:t>
      </w:r>
      <w:r>
        <w:rPr>
          <w:sz w:val="16"/>
        </w:rPr>
        <w:t>R.,</w:t>
      </w:r>
      <w:r>
        <w:rPr>
          <w:spacing w:val="-7"/>
          <w:sz w:val="16"/>
        </w:rPr>
        <w:t> </w:t>
      </w:r>
      <w:r>
        <w:rPr>
          <w:sz w:val="16"/>
        </w:rPr>
        <w:t>&amp;</w:t>
      </w:r>
      <w:r>
        <w:rPr>
          <w:spacing w:val="-6"/>
          <w:sz w:val="16"/>
        </w:rPr>
        <w:t> </w:t>
      </w:r>
      <w:r>
        <w:rPr>
          <w:sz w:val="16"/>
        </w:rPr>
        <w:t>Savarino,</w:t>
      </w:r>
      <w:r>
        <w:rPr>
          <w:spacing w:val="-5"/>
          <w:sz w:val="16"/>
        </w:rPr>
        <w:t> </w:t>
      </w:r>
      <w:r>
        <w:rPr>
          <w:sz w:val="16"/>
        </w:rPr>
        <w:t>V.</w:t>
      </w:r>
      <w:r>
        <w:rPr>
          <w:spacing w:val="-7"/>
          <w:sz w:val="16"/>
        </w:rPr>
        <w:t> </w:t>
      </w:r>
      <w:r>
        <w:rPr>
          <w:sz w:val="16"/>
        </w:rPr>
        <w:t>(2011).</w:t>
      </w:r>
    </w:p>
    <w:p>
      <w:pPr>
        <w:spacing w:before="0"/>
        <w:ind w:left="500" w:right="5327" w:firstLine="0"/>
        <w:jc w:val="left"/>
        <w:rPr>
          <w:sz w:val="16"/>
        </w:rPr>
      </w:pPr>
      <w:r>
        <w:rPr>
          <w:sz w:val="16"/>
        </w:rPr>
        <w:t>Achalasia with dense eosinophilic infiltrate responds to</w:t>
      </w:r>
      <w:r>
        <w:rPr>
          <w:spacing w:val="1"/>
          <w:sz w:val="16"/>
        </w:rPr>
        <w:t> </w:t>
      </w:r>
      <w:r>
        <w:rPr>
          <w:spacing w:val="-1"/>
          <w:sz w:val="16"/>
        </w:rPr>
        <w:t>steroid therapy. </w:t>
      </w:r>
      <w:r>
        <w:rPr>
          <w:i/>
          <w:spacing w:val="-1"/>
          <w:sz w:val="16"/>
        </w:rPr>
        <w:t>Clinical Gastroenterology </w:t>
      </w:r>
      <w:r>
        <w:rPr>
          <w:i/>
          <w:sz w:val="16"/>
        </w:rPr>
        <w:t>and Hepatology,</w:t>
      </w:r>
      <w:r>
        <w:rPr>
          <w:i/>
          <w:spacing w:val="-34"/>
          <w:sz w:val="16"/>
        </w:rPr>
        <w:t> </w:t>
      </w:r>
      <w:r>
        <w:rPr>
          <w:i/>
          <w:sz w:val="16"/>
        </w:rPr>
        <w:t>9</w:t>
      </w:r>
      <w:r>
        <w:rPr>
          <w:sz w:val="16"/>
        </w:rPr>
        <w:t>(12),</w:t>
      </w:r>
      <w:r>
        <w:rPr>
          <w:spacing w:val="-2"/>
          <w:sz w:val="16"/>
        </w:rPr>
        <w:t> </w:t>
      </w:r>
      <w:r>
        <w:rPr>
          <w:sz w:val="16"/>
        </w:rPr>
        <w:t>1104–1106.</w:t>
      </w:r>
    </w:p>
    <w:p>
      <w:pPr>
        <w:spacing w:line="194" w:lineRule="exact" w:before="0"/>
        <w:ind w:left="500" w:right="0" w:firstLine="0"/>
        <w:jc w:val="left"/>
        <w:rPr>
          <w:sz w:val="16"/>
        </w:rPr>
      </w:pPr>
      <w:r>
        <w:rPr>
          <w:sz w:val="16"/>
        </w:rPr>
        <w:t>https://doi.org/10.1016/j.cgh.2011.08.002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0" w:after="0"/>
        <w:ind w:left="500" w:right="5205" w:hanging="361"/>
        <w:jc w:val="left"/>
        <w:rPr>
          <w:sz w:val="16"/>
        </w:rPr>
      </w:pPr>
      <w:r>
        <w:rPr>
          <w:sz w:val="16"/>
        </w:rPr>
        <w:t>Vaezi, M. F., &amp; Richter, J. E. (1998). Current Therapies for</w:t>
      </w:r>
      <w:r>
        <w:rPr>
          <w:spacing w:val="1"/>
          <w:sz w:val="16"/>
        </w:rPr>
        <w:t> </w:t>
      </w:r>
      <w:r>
        <w:rPr>
          <w:sz w:val="16"/>
        </w:rPr>
        <w:t>Achalasia.</w:t>
      </w:r>
      <w:r>
        <w:rPr>
          <w:spacing w:val="-8"/>
          <w:sz w:val="16"/>
        </w:rPr>
        <w:t> </w:t>
      </w:r>
      <w:r>
        <w:rPr>
          <w:sz w:val="16"/>
        </w:rPr>
        <w:t>Journal</w:t>
      </w:r>
      <w:r>
        <w:rPr>
          <w:spacing w:val="-9"/>
          <w:sz w:val="16"/>
        </w:rPr>
        <w:t> </w:t>
      </w:r>
      <w:r>
        <w:rPr>
          <w:sz w:val="16"/>
        </w:rPr>
        <w:t>of</w:t>
      </w:r>
      <w:r>
        <w:rPr>
          <w:spacing w:val="-7"/>
          <w:sz w:val="16"/>
        </w:rPr>
        <w:t> </w:t>
      </w:r>
      <w:r>
        <w:rPr>
          <w:sz w:val="16"/>
        </w:rPr>
        <w:t>Clinical</w:t>
      </w:r>
      <w:r>
        <w:rPr>
          <w:spacing w:val="-9"/>
          <w:sz w:val="16"/>
        </w:rPr>
        <w:t> </w:t>
      </w:r>
      <w:r>
        <w:rPr>
          <w:sz w:val="16"/>
        </w:rPr>
        <w:t>Gastroenterology,</w:t>
      </w:r>
      <w:r>
        <w:rPr>
          <w:spacing w:val="-7"/>
          <w:sz w:val="16"/>
        </w:rPr>
        <w:t> </w:t>
      </w:r>
      <w:r>
        <w:rPr>
          <w:sz w:val="16"/>
        </w:rPr>
        <w:t>27(1),</w:t>
      </w:r>
      <w:r>
        <w:rPr>
          <w:spacing w:val="-7"/>
          <w:sz w:val="16"/>
        </w:rPr>
        <w:t> </w:t>
      </w:r>
      <w:r>
        <w:rPr>
          <w:sz w:val="16"/>
        </w:rPr>
        <w:t>21–35.</w:t>
      </w:r>
      <w:r>
        <w:rPr>
          <w:spacing w:val="-33"/>
          <w:sz w:val="16"/>
        </w:rPr>
        <w:t> </w:t>
      </w:r>
      <w:r>
        <w:rPr>
          <w:sz w:val="16"/>
        </w:rPr>
        <w:t>https://doi.org/10.1097/00004836-199807000-00006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0" w:after="0"/>
        <w:ind w:left="500" w:right="5220" w:hanging="361"/>
        <w:jc w:val="left"/>
        <w:rPr>
          <w:sz w:val="16"/>
        </w:rPr>
      </w:pPr>
      <w:r>
        <w:rPr>
          <w:sz w:val="16"/>
        </w:rPr>
        <w:t>Burns,</w:t>
      </w:r>
      <w:r>
        <w:rPr>
          <w:spacing w:val="-6"/>
          <w:sz w:val="16"/>
        </w:rPr>
        <w:t> </w:t>
      </w:r>
      <w:r>
        <w:rPr>
          <w:sz w:val="16"/>
        </w:rPr>
        <w:t>A.,</w:t>
      </w:r>
      <w:r>
        <w:rPr>
          <w:spacing w:val="-7"/>
          <w:sz w:val="16"/>
        </w:rPr>
        <w:t> </w:t>
      </w:r>
      <w:r>
        <w:rPr>
          <w:sz w:val="16"/>
        </w:rPr>
        <w:t>Goldstein,</w:t>
      </w:r>
      <w:r>
        <w:rPr>
          <w:spacing w:val="-6"/>
          <w:sz w:val="16"/>
        </w:rPr>
        <w:t> </w:t>
      </w:r>
      <w:r>
        <w:rPr>
          <w:sz w:val="16"/>
        </w:rPr>
        <w:t>A.,</w:t>
      </w:r>
      <w:r>
        <w:rPr>
          <w:spacing w:val="-6"/>
          <w:sz w:val="16"/>
        </w:rPr>
        <w:t> </w:t>
      </w:r>
      <w:r>
        <w:rPr>
          <w:sz w:val="16"/>
        </w:rPr>
        <w:t>Newgreen,</w:t>
      </w:r>
      <w:r>
        <w:rPr>
          <w:spacing w:val="-6"/>
          <w:sz w:val="16"/>
        </w:rPr>
        <w:t> </w:t>
      </w:r>
      <w:r>
        <w:rPr>
          <w:sz w:val="16"/>
        </w:rPr>
        <w:t>D.,</w:t>
      </w:r>
      <w:r>
        <w:rPr>
          <w:spacing w:val="-7"/>
          <w:sz w:val="16"/>
        </w:rPr>
        <w:t> </w:t>
      </w:r>
      <w:r>
        <w:rPr>
          <w:sz w:val="16"/>
        </w:rPr>
        <w:t>Stamp,</w:t>
      </w:r>
      <w:r>
        <w:rPr>
          <w:spacing w:val="-5"/>
          <w:sz w:val="16"/>
        </w:rPr>
        <w:t> </w:t>
      </w:r>
      <w:r>
        <w:rPr>
          <w:sz w:val="16"/>
        </w:rPr>
        <w:t>L.,</w:t>
      </w:r>
      <w:r>
        <w:rPr>
          <w:spacing w:val="-7"/>
          <w:sz w:val="16"/>
        </w:rPr>
        <w:t> </w:t>
      </w:r>
      <w:r>
        <w:rPr>
          <w:sz w:val="16"/>
        </w:rPr>
        <w:t>Schäfer,</w:t>
      </w:r>
      <w:r>
        <w:rPr>
          <w:spacing w:val="-6"/>
          <w:sz w:val="16"/>
        </w:rPr>
        <w:t> </w:t>
      </w:r>
      <w:r>
        <w:rPr>
          <w:sz w:val="16"/>
        </w:rPr>
        <w:t>K.,</w:t>
      </w:r>
      <w:r>
        <w:rPr>
          <w:spacing w:val="-33"/>
          <w:sz w:val="16"/>
        </w:rPr>
        <w:t> </w:t>
      </w:r>
      <w:r>
        <w:rPr>
          <w:sz w:val="16"/>
        </w:rPr>
        <w:t>Metzger, M., Hotta, R., Young, H., Andrews, P., Thapar, N.,</w:t>
      </w:r>
      <w:r>
        <w:rPr>
          <w:spacing w:val="1"/>
          <w:sz w:val="16"/>
        </w:rPr>
        <w:t> </w:t>
      </w:r>
      <w:r>
        <w:rPr>
          <w:spacing w:val="-1"/>
          <w:sz w:val="16"/>
        </w:rPr>
        <w:t>Belkind-Gerson, J., </w:t>
      </w:r>
      <w:r>
        <w:rPr>
          <w:sz w:val="16"/>
        </w:rPr>
        <w:t>Bondurand, N., Bornstein, J., Chan, W.,</w:t>
      </w:r>
      <w:r>
        <w:rPr>
          <w:spacing w:val="1"/>
          <w:sz w:val="16"/>
        </w:rPr>
        <w:t> </w:t>
      </w:r>
      <w:r>
        <w:rPr>
          <w:sz w:val="16"/>
        </w:rPr>
        <w:t>Cheah, K., Gershon, M., Heuckeroth, R., Hofstra, R., Just, L.,</w:t>
      </w:r>
      <w:r>
        <w:rPr>
          <w:spacing w:val="1"/>
          <w:sz w:val="16"/>
        </w:rPr>
        <w:t> </w:t>
      </w:r>
      <w:r>
        <w:rPr>
          <w:sz w:val="16"/>
        </w:rPr>
        <w:t>&amp; Vanden Berghe, P. (2016). White paper on guidelines</w:t>
      </w:r>
      <w:r>
        <w:rPr>
          <w:spacing w:val="1"/>
          <w:sz w:val="16"/>
        </w:rPr>
        <w:t> </w:t>
      </w:r>
      <w:r>
        <w:rPr>
          <w:sz w:val="16"/>
        </w:rPr>
        <w:t>concerning</w:t>
      </w:r>
      <w:r>
        <w:rPr>
          <w:spacing w:val="-5"/>
          <w:sz w:val="16"/>
        </w:rPr>
        <w:t> </w:t>
      </w:r>
      <w:r>
        <w:rPr>
          <w:sz w:val="16"/>
        </w:rPr>
        <w:t>enteric</w:t>
      </w:r>
      <w:r>
        <w:rPr>
          <w:spacing w:val="-3"/>
          <w:sz w:val="16"/>
        </w:rPr>
        <w:t> </w:t>
      </w:r>
      <w:r>
        <w:rPr>
          <w:sz w:val="16"/>
        </w:rPr>
        <w:t>nervous</w:t>
      </w:r>
      <w:r>
        <w:rPr>
          <w:spacing w:val="-1"/>
          <w:sz w:val="16"/>
        </w:rPr>
        <w:t> </w:t>
      </w:r>
      <w:r>
        <w:rPr>
          <w:sz w:val="16"/>
        </w:rPr>
        <w:t>system</w:t>
      </w:r>
      <w:r>
        <w:rPr>
          <w:spacing w:val="-2"/>
          <w:sz w:val="16"/>
        </w:rPr>
        <w:t> </w:t>
      </w:r>
      <w:r>
        <w:rPr>
          <w:sz w:val="16"/>
        </w:rPr>
        <w:t>stem</w:t>
      </w:r>
      <w:r>
        <w:rPr>
          <w:spacing w:val="-2"/>
          <w:sz w:val="16"/>
        </w:rPr>
        <w:t> </w:t>
      </w:r>
      <w:r>
        <w:rPr>
          <w:sz w:val="16"/>
        </w:rPr>
        <w:t>cell</w:t>
      </w:r>
      <w:r>
        <w:rPr>
          <w:spacing w:val="-5"/>
          <w:sz w:val="16"/>
        </w:rPr>
        <w:t> </w:t>
      </w:r>
      <w:r>
        <w:rPr>
          <w:sz w:val="16"/>
        </w:rPr>
        <w:t>therapy</w:t>
      </w:r>
      <w:r>
        <w:rPr>
          <w:spacing w:val="-7"/>
          <w:sz w:val="16"/>
        </w:rPr>
        <w:t> </w:t>
      </w:r>
      <w:r>
        <w:rPr>
          <w:sz w:val="16"/>
        </w:rPr>
        <w:t>for</w:t>
      </w:r>
    </w:p>
    <w:p>
      <w:pPr>
        <w:spacing w:line="195" w:lineRule="exact" w:before="1"/>
        <w:ind w:left="500" w:right="0" w:firstLine="0"/>
        <w:jc w:val="left"/>
        <w:rPr>
          <w:sz w:val="16"/>
        </w:rPr>
      </w:pPr>
      <w:r>
        <w:rPr>
          <w:sz w:val="16"/>
        </w:rPr>
        <w:t>enteric</w:t>
      </w:r>
      <w:r>
        <w:rPr>
          <w:spacing w:val="-8"/>
          <w:sz w:val="16"/>
        </w:rPr>
        <w:t> </w:t>
      </w:r>
      <w:r>
        <w:rPr>
          <w:sz w:val="16"/>
        </w:rPr>
        <w:t>neuropathies.</w:t>
      </w:r>
      <w:r>
        <w:rPr>
          <w:spacing w:val="-8"/>
          <w:sz w:val="16"/>
        </w:rPr>
        <w:t> </w:t>
      </w:r>
      <w:r>
        <w:rPr>
          <w:i/>
          <w:sz w:val="16"/>
        </w:rPr>
        <w:t>Developmental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Biology,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417</w:t>
      </w:r>
      <w:r>
        <w:rPr>
          <w:sz w:val="16"/>
        </w:rPr>
        <w:t>(2),</w:t>
      </w:r>
      <w:r>
        <w:rPr>
          <w:spacing w:val="-9"/>
          <w:sz w:val="16"/>
        </w:rPr>
        <w:t> </w:t>
      </w:r>
      <w:r>
        <w:rPr>
          <w:sz w:val="16"/>
        </w:rPr>
        <w:t>229–</w:t>
      </w:r>
    </w:p>
    <w:p>
      <w:pPr>
        <w:spacing w:before="0"/>
        <w:ind w:left="500" w:right="0" w:firstLine="0"/>
        <w:jc w:val="left"/>
        <w:rPr>
          <w:sz w:val="16"/>
        </w:rPr>
      </w:pPr>
      <w:r>
        <w:rPr>
          <w:spacing w:val="-1"/>
          <w:sz w:val="16"/>
        </w:rPr>
        <w:t>251. https://doi.org/10.1016/j.ydbio.2016.04.001</w:t>
      </w:r>
    </w:p>
    <w:sectPr>
      <w:pgSz w:w="12240" w:h="15840"/>
      <w:pgMar w:header="0" w:footer="769" w:top="1380" w:bottom="960" w:left="130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1.219971pt;margin-top:742.556641pt;width:13pt;height:15.3pt;mso-position-horizontal-relative:page;mso-position-vertical-relative:page;z-index:-15848960" type="#_x0000_t202" filled="false" stroked="false">
          <v:textbox inset="0,0,0,0">
            <w:txbxContent>
              <w:p>
                <w:pPr>
                  <w:spacing w:before="10"/>
                  <w:ind w:left="8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500" w:hanging="361"/>
        <w:jc w:val="left"/>
      </w:pPr>
      <w:rPr>
        <w:rFonts w:hint="default" w:ascii="Calibri" w:hAnsi="Calibri" w:eastAsia="Calibri" w:cs="Calibri"/>
        <w:spacing w:val="-2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1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4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5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66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70" w:hanging="360"/>
        <w:jc w:val="left"/>
      </w:pPr>
      <w:rPr>
        <w:rFonts w:hint="default" w:ascii="Calibri" w:hAnsi="Calibri" w:eastAsia="Calibri" w:cs="Calibri"/>
        <w:spacing w:val="-2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2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6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0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7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5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0"/>
    </w:pPr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"/>
      <w:ind w:left="8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00" w:hanging="361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 w:line="148" w:lineRule="exact"/>
      <w:ind w:right="71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Crisang</dc:creator>
  <dcterms:created xsi:type="dcterms:W3CDTF">2023-04-27T10:04:29Z</dcterms:created>
  <dcterms:modified xsi:type="dcterms:W3CDTF">2023-04-27T10:04:29Z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2023-04-27T00:00:00Z</vt:filetime>
  </property>
</Properties>
</file>