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3F5B00" w:rsidRDefault="003F5B00" w:rsidP="003F5B00">
      <w:pPr>
        <w:pStyle w:val="Heading1"/>
        <w:spacing w:before="170"/>
        <w:ind w:left="0"/>
        <w:jc w:val="center"/>
      </w:pPr>
      <w:r>
        <w:rPr>
          <w:color w:val="337AB7"/>
        </w:rPr>
        <w:t xml:space="preserve">Antibiotics in agriculture </w:t>
      </w:r>
      <w:r>
        <w:rPr>
          <w:color w:val="337AB7"/>
          <w:lang w:val="uk-UA"/>
        </w:rPr>
        <w:t xml:space="preserve">- </w:t>
      </w:r>
      <w:r>
        <w:rPr>
          <w:color w:val="337AB7"/>
        </w:rPr>
        <w:t xml:space="preserve">concept </w:t>
      </w:r>
      <w:r w:rsidRPr="003F5B00">
        <w:rPr>
          <w:color w:val="337AB7"/>
        </w:rPr>
        <w:t>“One H</w:t>
      </w:r>
      <w:r>
        <w:rPr>
          <w:color w:val="337AB7"/>
        </w:rPr>
        <w:t>ealth”</w:t>
      </w:r>
    </w:p>
    <w:p w:rsidR="006D2975" w:rsidRDefault="006D2975" w:rsidP="00BE589D">
      <w:pPr>
        <w:pStyle w:val="BodyText"/>
        <w:spacing w:before="73" w:line="198" w:lineRule="exact"/>
        <w:ind w:left="100" w:right="5987"/>
        <w:rPr>
          <w:rFonts w:ascii="Arial"/>
          <w:lang w:val="pt-PT"/>
        </w:rPr>
      </w:pPr>
    </w:p>
    <w:p w:rsidR="00BE589D" w:rsidRPr="00BE589D" w:rsidRDefault="00BE589D" w:rsidP="00BE589D">
      <w:pPr>
        <w:pStyle w:val="BodyText"/>
        <w:spacing w:before="73" w:line="198" w:lineRule="exact"/>
        <w:ind w:left="100" w:right="5987"/>
        <w:rPr>
          <w:rFonts w:ascii="Arial"/>
          <w:lang w:val="pt-PT"/>
        </w:rPr>
      </w:pPr>
      <w:r w:rsidRPr="00BE589D">
        <w:rPr>
          <w:rFonts w:ascii="Arial"/>
          <w:lang w:val="pt-PT"/>
        </w:rPr>
        <w:t>Lyudmyla Symochko, Dr., University of Coimbra, Coimbra, Portugal</w:t>
      </w:r>
      <w:r w:rsidR="00C0569A" w:rsidRPr="00BE589D">
        <w:rPr>
          <w:rFonts w:ascii="Arial"/>
          <w:lang w:val="pt-PT"/>
        </w:rPr>
        <w:t xml:space="preserve"> </w:t>
      </w:r>
    </w:p>
    <w:p w:rsidR="00BE589D" w:rsidRPr="00BE589D" w:rsidRDefault="00BE589D" w:rsidP="00BE589D">
      <w:pPr>
        <w:pStyle w:val="BodyText"/>
        <w:spacing w:before="73" w:line="198" w:lineRule="exact"/>
        <w:ind w:left="100" w:right="5987"/>
        <w:rPr>
          <w:rFonts w:ascii="Arial"/>
          <w:vertAlign w:val="superscript"/>
          <w:lang w:val="uk-UA"/>
        </w:rPr>
      </w:pPr>
      <w:r w:rsidRPr="00BE589D">
        <w:rPr>
          <w:rFonts w:ascii="Arial"/>
          <w:lang w:val="uk-UA"/>
        </w:rPr>
        <w:t>Nazare Coelho Pinheiro</w:t>
      </w:r>
      <w:r w:rsidRPr="00BE589D">
        <w:rPr>
          <w:rFonts w:ascii="Arial"/>
          <w:lang w:val="pt-PT"/>
        </w:rPr>
        <w:t>, Dr., Coimbra Polythecnic-ISEC, Coimbra, Portugal</w:t>
      </w:r>
      <w:r w:rsidRPr="00BE589D">
        <w:rPr>
          <w:rFonts w:ascii="Arial"/>
          <w:vertAlign w:val="superscript"/>
          <w:lang w:val="uk-UA"/>
        </w:rPr>
        <w:t xml:space="preserve"> </w:t>
      </w:r>
    </w:p>
    <w:p w:rsidR="00BE589D" w:rsidRPr="00BE589D" w:rsidRDefault="00BE589D" w:rsidP="00BE589D">
      <w:pPr>
        <w:pStyle w:val="BodyText"/>
        <w:spacing w:before="73" w:line="198" w:lineRule="exact"/>
        <w:ind w:left="100" w:right="5987"/>
        <w:rPr>
          <w:rFonts w:ascii="Arial"/>
          <w:lang w:val="lt-LT"/>
        </w:rPr>
      </w:pPr>
      <w:r w:rsidRPr="00BE589D">
        <w:rPr>
          <w:rFonts w:ascii="Arial"/>
          <w:lang w:val="lt-LT"/>
        </w:rPr>
        <w:t>Olena Demyanyuk, Dr.,Institute of Agroecology and Environmental Management NAAS, Kyiv, Ukraine</w:t>
      </w:r>
    </w:p>
    <w:p w:rsidR="00AE3E37" w:rsidRPr="00BE589D" w:rsidRDefault="00AE3E37" w:rsidP="00BE589D">
      <w:pPr>
        <w:pStyle w:val="BodyText"/>
        <w:spacing w:before="73" w:line="198" w:lineRule="exact"/>
        <w:ind w:left="100" w:right="5987"/>
        <w:rPr>
          <w:rFonts w:ascii="Arial"/>
          <w:sz w:val="20"/>
          <w:lang w:val="lt-LT"/>
        </w:rPr>
      </w:pPr>
    </w:p>
    <w:p w:rsidR="00AE3E37" w:rsidRPr="00BE589D" w:rsidRDefault="00AE3E37">
      <w:pPr>
        <w:rPr>
          <w:rFonts w:ascii="Arial"/>
          <w:sz w:val="21"/>
        </w:rPr>
        <w:sectPr w:rsidR="00AE3E37" w:rsidRPr="00BE589D" w:rsidSect="008E5477">
          <w:footerReference w:type="default" r:id="rId7"/>
          <w:type w:val="continuous"/>
          <w:pgSz w:w="11910" w:h="16840"/>
          <w:pgMar w:top="995" w:right="600" w:bottom="840" w:left="620" w:header="0" w:footer="0" w:gutter="0"/>
          <w:cols w:space="720"/>
          <w:docGrid w:linePitch="299"/>
        </w:sectPr>
      </w:pPr>
      <w:bookmarkStart w:id="0" w:name="_GoBack"/>
      <w:bookmarkEnd w:id="0"/>
    </w:p>
    <w:p w:rsidR="00AE3E37" w:rsidRDefault="00A9710C">
      <w:pPr>
        <w:pStyle w:val="Heading3"/>
        <w:spacing w:before="147"/>
        <w:jc w:val="both"/>
      </w:pPr>
      <w:r>
        <w:rPr>
          <w:color w:val="BF5A14"/>
        </w:rPr>
        <w:lastRenderedPageBreak/>
        <w:t>Abstract</w:t>
      </w:r>
      <w:r w:rsidR="004E6DBB">
        <w:rPr>
          <w:color w:val="BF5A14"/>
        </w:rPr>
        <w:t xml:space="preserve"> </w:t>
      </w:r>
    </w:p>
    <w:p w:rsidR="00AE3E37" w:rsidRDefault="006D2975" w:rsidP="004E6DBB">
      <w:pPr>
        <w:pStyle w:val="BodyText"/>
        <w:spacing w:before="90" w:line="280" w:lineRule="auto"/>
        <w:ind w:left="100"/>
        <w:jc w:val="both"/>
      </w:pPr>
      <w:r w:rsidRPr="006D2975">
        <w:t>The One Health concept is an integrated and unifying approach that seeks to balance and optimize the health of people, animals, and the environment. It involves collaboration among the public health, veterinary, and environmental sectors, and is particularly relevant for issues such as food and water safety, biosecurity, nutrition, zoonotic disease control, pollution management, and combating antimicrobial resistance.</w:t>
      </w:r>
      <w:r>
        <w:t xml:space="preserve"> </w:t>
      </w:r>
      <w:r w:rsidRPr="006D2975">
        <w:t>Biosecurity is a strategic and integrated approach that encompasses policy and regulatory frameworks for identifying, analyzing, and managing risks to human health, animal health, and the environment. The primary goal of biosecurity is to prevent and control risks to life and health as they relate to particular biosecurity sectors.</w:t>
      </w:r>
      <w:r>
        <w:t xml:space="preserve"> </w:t>
      </w:r>
      <w:r w:rsidRPr="006D2975">
        <w:t>One critical area of biosecurity is food safety, which is a key priority in the pursuit of sustainable development goals. Managing and controlling the biocontamination of agroecosystems by antibiotic-resistant bacteria is especially important in this context. By adopting a One Health approach and implementing robust biosecurity measures, we can promote sustainable agriculture and protect the health of humans, animals, and the environment.</w:t>
      </w:r>
      <w:r>
        <w:t xml:space="preserve"> </w:t>
      </w:r>
      <w:r w:rsidRPr="006D2975">
        <w:t>The study aimed to investigate the prevalence of antibiotic-resistant bacteria in agroecosystems and assess the associated risks to human health. The World Health Organization has recognized the emergence of antibiotic resistance as a si</w:t>
      </w:r>
      <w:r w:rsidR="004E6DBB">
        <w:t>gnificant global health threat.</w:t>
      </w:r>
      <w:r w:rsidRPr="006D2975">
        <w:t xml:space="preserve"> </w:t>
      </w:r>
      <w:r w:rsidR="00A9710C">
        <w:br w:type="column"/>
      </w:r>
    </w:p>
    <w:p w:rsidR="00AE3E37" w:rsidRDefault="00AE3E37">
      <w:pPr>
        <w:pStyle w:val="BodyText"/>
        <w:spacing w:before="2"/>
        <w:rPr>
          <w:rFonts w:ascii="Arial"/>
          <w:b/>
          <w:sz w:val="16"/>
        </w:rPr>
      </w:pPr>
    </w:p>
    <w:p w:rsidR="002E061C" w:rsidRDefault="002E061C" w:rsidP="0027013E">
      <w:pPr>
        <w:spacing w:line="204" w:lineRule="exact"/>
        <w:jc w:val="both"/>
        <w:rPr>
          <w:sz w:val="18"/>
          <w:szCs w:val="18"/>
        </w:rPr>
      </w:pPr>
      <w:r w:rsidRPr="002E061C">
        <w:rPr>
          <w:sz w:val="18"/>
          <w:szCs w:val="18"/>
        </w:rPr>
        <w:t>Therefore, monitoring the spread of antibiotic-resistant bacteria in agroecosystems is crucial to mitigate the risks associated with antibiotic resistance.</w:t>
      </w:r>
      <w:r>
        <w:rPr>
          <w:sz w:val="18"/>
          <w:szCs w:val="18"/>
        </w:rPr>
        <w:t xml:space="preserve"> </w:t>
      </w:r>
      <w:r w:rsidR="004E6DBB" w:rsidRPr="004E6DBB">
        <w:rPr>
          <w:sz w:val="18"/>
          <w:szCs w:val="18"/>
        </w:rPr>
        <w:t xml:space="preserve">In our study, we observed a concerning increase in the number of antibiotic-resistant bacteria in agroecosystems over a 6-year period. </w:t>
      </w:r>
      <w:r w:rsidR="004E6DBB" w:rsidRPr="004E6DBB">
        <w:rPr>
          <w:sz w:val="18"/>
          <w:szCs w:val="18"/>
        </w:rPr>
        <w:t xml:space="preserve">Isolated total 244 dominating bacteria in 2015 year, among them 53 antibiotic-resistant bacteria. All isolates were multi-drug resistant, of which greater than 62,3% were resistant to 9 antibiotics. In 2021 number of antibiotic-resistant bacteria increased practically twice and was 98 and 78,7% of them were characterized by a high level of resistance. </w:t>
      </w:r>
    </w:p>
    <w:p w:rsidR="0027013E" w:rsidRDefault="004E6DBB" w:rsidP="0027013E">
      <w:pPr>
        <w:spacing w:line="204" w:lineRule="exact"/>
        <w:jc w:val="both"/>
        <w:rPr>
          <w:rFonts w:ascii="Arial"/>
          <w:b/>
          <w:color w:val="BF5A14"/>
          <w:sz w:val="20"/>
        </w:rPr>
      </w:pPr>
      <w:r w:rsidRPr="004E6DBB">
        <w:rPr>
          <w:sz w:val="18"/>
          <w:szCs w:val="18"/>
        </w:rPr>
        <w:t xml:space="preserve">The monitoring of antibiotic resistance in </w:t>
      </w:r>
      <w:r w:rsidR="005872C8">
        <w:rPr>
          <w:sz w:val="18"/>
          <w:szCs w:val="18"/>
        </w:rPr>
        <w:t>agro</w:t>
      </w:r>
      <w:r w:rsidRPr="004E6DBB">
        <w:rPr>
          <w:sz w:val="18"/>
          <w:szCs w:val="18"/>
        </w:rPr>
        <w:t>ecosystems is critical for managing and controlling biosecurity, and plays an important role in the implementation of the "One Health" concept.</w:t>
      </w:r>
      <w:r w:rsidR="005973B9" w:rsidRPr="004E6DBB">
        <w:rPr>
          <w:rFonts w:ascii="Arial"/>
          <w:b/>
          <w:color w:val="BF5A14"/>
          <w:sz w:val="18"/>
          <w:szCs w:val="18"/>
        </w:rPr>
        <w:br/>
      </w:r>
      <w:r w:rsidR="005973B9">
        <w:rPr>
          <w:rFonts w:ascii="Arial"/>
          <w:b/>
          <w:color w:val="BF5A14"/>
          <w:sz w:val="20"/>
        </w:rPr>
        <w:t xml:space="preserve">Recent Publications </w:t>
      </w:r>
    </w:p>
    <w:p w:rsidR="0027013E" w:rsidRPr="002E061C" w:rsidRDefault="0027013E" w:rsidP="002E061C">
      <w:pPr>
        <w:pStyle w:val="ListParagraph"/>
        <w:numPr>
          <w:ilvl w:val="0"/>
          <w:numId w:val="3"/>
        </w:numPr>
        <w:tabs>
          <w:tab w:val="left" w:pos="384"/>
        </w:tabs>
        <w:spacing w:before="85" w:line="240" w:lineRule="auto"/>
        <w:ind w:right="138"/>
        <w:rPr>
          <w:rFonts w:ascii="Tw Cen MT" w:hAnsi="Tw Cen MT" w:cs="Times New Roman"/>
          <w:sz w:val="18"/>
          <w:szCs w:val="18"/>
        </w:rPr>
      </w:pPr>
      <w:r w:rsidRPr="002E061C">
        <w:rPr>
          <w:rFonts w:ascii="Tw Cen MT" w:hAnsi="Tw Cen MT" w:cs="Times New Roman"/>
          <w:sz w:val="18"/>
          <w:szCs w:val="18"/>
        </w:rPr>
        <w:t>Symochko, L. Bugyna, O. Hafiiyak</w:t>
      </w:r>
      <w:r w:rsidRPr="002E061C">
        <w:rPr>
          <w:rFonts w:ascii="Tw Cen MT" w:hAnsi="Tw Cen MT" w:cs="Times New Roman"/>
          <w:sz w:val="18"/>
          <w:szCs w:val="18"/>
        </w:rPr>
        <w:t xml:space="preserve"> (2021) </w:t>
      </w:r>
      <w:r w:rsidRPr="002E061C">
        <w:rPr>
          <w:rFonts w:ascii="Tw Cen MT" w:hAnsi="Tw Cen MT" w:cs="Times New Roman"/>
          <w:sz w:val="18"/>
          <w:szCs w:val="18"/>
        </w:rPr>
        <w:t>Ecological aspects of biosecurity in modern agroecosystems</w:t>
      </w:r>
      <w:r w:rsidRPr="002E061C">
        <w:rPr>
          <w:rFonts w:ascii="Tw Cen MT" w:hAnsi="Tw Cen MT" w:cs="Times New Roman"/>
          <w:sz w:val="18"/>
          <w:szCs w:val="18"/>
        </w:rPr>
        <w:t xml:space="preserve">. </w:t>
      </w:r>
      <w:r w:rsidRPr="002E061C">
        <w:rPr>
          <w:rFonts w:ascii="Tw Cen MT" w:hAnsi="Tw Cen MT" w:cs="Times New Roman"/>
          <w:sz w:val="18"/>
          <w:szCs w:val="18"/>
        </w:rPr>
        <w:t>International Journal of Ecosystems an</w:t>
      </w:r>
      <w:r w:rsidRPr="002E061C">
        <w:rPr>
          <w:rFonts w:ascii="Tw Cen MT" w:hAnsi="Tw Cen MT" w:cs="Times New Roman"/>
          <w:sz w:val="18"/>
          <w:szCs w:val="18"/>
        </w:rPr>
        <w:t>d Ecology Sciences, 11(1)</w:t>
      </w:r>
      <w:r w:rsidRPr="002E061C">
        <w:rPr>
          <w:rFonts w:ascii="Tw Cen MT" w:hAnsi="Tw Cen MT" w:cs="Times New Roman"/>
          <w:sz w:val="18"/>
          <w:szCs w:val="18"/>
        </w:rPr>
        <w:t>, pp. 181-186, 10.31407/ijees11.124</w:t>
      </w:r>
      <w:r w:rsidRPr="002E061C">
        <w:rPr>
          <w:rFonts w:ascii="Tw Cen MT" w:hAnsi="Tw Cen MT" w:cs="Times New Roman"/>
          <w:sz w:val="18"/>
          <w:szCs w:val="18"/>
        </w:rPr>
        <w:t xml:space="preserve">. </w:t>
      </w:r>
    </w:p>
    <w:p w:rsidR="002E061C" w:rsidRPr="002E061C" w:rsidRDefault="0027013E" w:rsidP="002E061C">
      <w:pPr>
        <w:pStyle w:val="ListParagraph"/>
        <w:numPr>
          <w:ilvl w:val="0"/>
          <w:numId w:val="3"/>
        </w:numPr>
        <w:tabs>
          <w:tab w:val="left" w:pos="384"/>
        </w:tabs>
        <w:spacing w:before="85" w:line="240" w:lineRule="auto"/>
        <w:ind w:right="117"/>
        <w:rPr>
          <w:rFonts w:ascii="Tw Cen MT" w:hAnsi="Tw Cen MT" w:cs="Times New Roman"/>
          <w:sz w:val="18"/>
          <w:szCs w:val="18"/>
        </w:rPr>
      </w:pPr>
      <w:r w:rsidRPr="002E061C">
        <w:rPr>
          <w:rFonts w:ascii="Tw Cen MT" w:hAnsi="Tw Cen MT" w:cs="Times New Roman"/>
          <w:sz w:val="18"/>
          <w:szCs w:val="18"/>
        </w:rPr>
        <w:t xml:space="preserve">Uddin et al., </w:t>
      </w:r>
      <w:r w:rsidRPr="002E061C">
        <w:rPr>
          <w:rFonts w:ascii="Tw Cen MT" w:hAnsi="Tw Cen MT" w:cs="Times New Roman"/>
          <w:sz w:val="18"/>
          <w:szCs w:val="18"/>
        </w:rPr>
        <w:t>(</w:t>
      </w:r>
      <w:r w:rsidRPr="002E061C">
        <w:rPr>
          <w:rFonts w:ascii="Tw Cen MT" w:hAnsi="Tw Cen MT" w:cs="Times New Roman"/>
          <w:sz w:val="18"/>
          <w:szCs w:val="18"/>
        </w:rPr>
        <w:t>2021</w:t>
      </w:r>
      <w:r w:rsidRPr="002E061C">
        <w:rPr>
          <w:rFonts w:ascii="Tw Cen MT" w:hAnsi="Tw Cen MT" w:cs="Times New Roman"/>
          <w:sz w:val="18"/>
          <w:szCs w:val="18"/>
        </w:rPr>
        <w:t>)</w:t>
      </w:r>
      <w:r w:rsidRPr="002E061C">
        <w:rPr>
          <w:rFonts w:ascii="Tw Cen MT" w:hAnsi="Tw Cen MT" w:cs="Times New Roman"/>
          <w:sz w:val="18"/>
          <w:szCs w:val="18"/>
        </w:rPr>
        <w:t xml:space="preserve"> Antibiotic resistance in microbes: History, mechanisms, therapeutic strategies and future prospects</w:t>
      </w:r>
      <w:r w:rsidRPr="002E061C">
        <w:rPr>
          <w:rFonts w:ascii="Tw Cen MT" w:hAnsi="Tw Cen MT" w:cs="Times New Roman"/>
          <w:sz w:val="18"/>
          <w:szCs w:val="18"/>
        </w:rPr>
        <w:t xml:space="preserve">. </w:t>
      </w:r>
      <w:r w:rsidRPr="002E061C">
        <w:rPr>
          <w:rFonts w:ascii="Tw Cen MT" w:hAnsi="Tw Cen MT" w:cs="Times New Roman"/>
          <w:sz w:val="18"/>
          <w:szCs w:val="18"/>
        </w:rPr>
        <w:t xml:space="preserve">Journal of Infection </w:t>
      </w:r>
      <w:r w:rsidRPr="002E061C">
        <w:rPr>
          <w:rFonts w:ascii="Tw Cen MT" w:hAnsi="Tw Cen MT" w:cs="Times New Roman"/>
          <w:sz w:val="18"/>
          <w:szCs w:val="18"/>
        </w:rPr>
        <w:t>and Public Health, 14(12)</w:t>
      </w:r>
      <w:r w:rsidRPr="002E061C">
        <w:rPr>
          <w:rFonts w:ascii="Tw Cen MT" w:hAnsi="Tw Cen MT" w:cs="Times New Roman"/>
          <w:sz w:val="18"/>
          <w:szCs w:val="18"/>
        </w:rPr>
        <w:t>, pp. 1750-1766, 10.1016/j.jiph.2021.10.020</w:t>
      </w:r>
      <w:r w:rsidR="005973B9" w:rsidRPr="002E061C">
        <w:rPr>
          <w:rFonts w:ascii="Tw Cen MT" w:hAnsi="Tw Cen MT" w:cs="Times New Roman"/>
          <w:sz w:val="18"/>
          <w:szCs w:val="18"/>
        </w:rPr>
        <w:t>5.</w:t>
      </w:r>
      <w:r w:rsidR="002E061C" w:rsidRPr="002E061C">
        <w:rPr>
          <w:rFonts w:ascii="Tw Cen MT" w:hAnsi="Tw Cen MT" w:cs="Times New Roman"/>
          <w:sz w:val="18"/>
          <w:szCs w:val="18"/>
        </w:rPr>
        <w:t xml:space="preserve"> </w:t>
      </w:r>
    </w:p>
    <w:p w:rsidR="00AE3E37" w:rsidRPr="002E061C" w:rsidRDefault="002E061C" w:rsidP="002E061C">
      <w:pPr>
        <w:pStyle w:val="ListParagraph"/>
        <w:numPr>
          <w:ilvl w:val="0"/>
          <w:numId w:val="3"/>
        </w:numPr>
        <w:tabs>
          <w:tab w:val="left" w:pos="384"/>
        </w:tabs>
        <w:spacing w:before="85" w:line="240" w:lineRule="auto"/>
        <w:ind w:right="117"/>
        <w:rPr>
          <w:rFonts w:ascii="Tw Cen MT" w:hAnsi="Tw Cen MT" w:cs="Times New Roman"/>
          <w:sz w:val="18"/>
          <w:szCs w:val="18"/>
        </w:rPr>
      </w:pPr>
      <w:r w:rsidRPr="002E061C">
        <w:rPr>
          <w:rFonts w:ascii="Tw Cen MT" w:hAnsi="Tw Cen MT" w:cs="Times New Roman"/>
          <w:sz w:val="18"/>
          <w:szCs w:val="18"/>
        </w:rPr>
        <w:t>Hoffmann, V., Paul, B., Falade, T. </w:t>
      </w:r>
      <w:r w:rsidRPr="002E061C">
        <w:rPr>
          <w:rFonts w:ascii="Tw Cen MT" w:hAnsi="Tw Cen MT" w:cs="Times New Roman"/>
          <w:iCs/>
          <w:sz w:val="18"/>
          <w:szCs w:val="18"/>
        </w:rPr>
        <w:t>et al.</w:t>
      </w:r>
      <w:r w:rsidRPr="002E061C">
        <w:rPr>
          <w:rFonts w:ascii="Tw Cen MT" w:hAnsi="Tw Cen MT" w:cs="Times New Roman"/>
          <w:sz w:val="18"/>
          <w:szCs w:val="18"/>
        </w:rPr>
        <w:t> (2022) A one health approach to plant health. </w:t>
      </w:r>
      <w:r w:rsidRPr="002E061C">
        <w:rPr>
          <w:rFonts w:ascii="Tw Cen MT" w:hAnsi="Tw Cen MT" w:cs="Times New Roman"/>
          <w:iCs/>
          <w:sz w:val="18"/>
          <w:szCs w:val="18"/>
        </w:rPr>
        <w:t>CABI Agric Biosci</w:t>
      </w:r>
      <w:r w:rsidRPr="002E061C">
        <w:rPr>
          <w:rFonts w:ascii="Tw Cen MT" w:hAnsi="Tw Cen MT" w:cs="Times New Roman"/>
          <w:sz w:val="18"/>
          <w:szCs w:val="18"/>
        </w:rPr>
        <w:t> </w:t>
      </w:r>
      <w:r w:rsidRPr="002E061C">
        <w:rPr>
          <w:rFonts w:ascii="Tw Cen MT" w:hAnsi="Tw Cen MT" w:cs="Times New Roman"/>
          <w:b/>
          <w:bCs/>
          <w:sz w:val="18"/>
          <w:szCs w:val="18"/>
        </w:rPr>
        <w:t>3</w:t>
      </w:r>
      <w:r w:rsidRPr="002E061C">
        <w:rPr>
          <w:rFonts w:ascii="Tw Cen MT" w:hAnsi="Tw Cen MT" w:cs="Times New Roman"/>
          <w:sz w:val="18"/>
          <w:szCs w:val="18"/>
        </w:rPr>
        <w:t>, 62. https://doi.org/10.1186/s43170-022-00118-2</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B95F7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E061C" w:rsidRPr="00690997">
        <w:rPr>
          <w:rFonts w:ascii="Minion Pro"/>
          <w:noProof/>
          <w:sz w:val="26"/>
        </w:rPr>
        <w:drawing>
          <wp:inline distT="0" distB="0" distL="0" distR="0" wp14:anchorId="7EAD1FF7" wp14:editId="52B0383F">
            <wp:extent cx="771525" cy="914221"/>
            <wp:effectExtent l="0" t="0" r="0" b="63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383" cy="924717"/>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6C5359" w:rsidRDefault="006C5359" w:rsidP="006C5359">
      <w:pPr>
        <w:spacing w:before="41" w:line="154" w:lineRule="exact"/>
        <w:ind w:left="213" w:right="231"/>
        <w:jc w:val="both"/>
        <w:rPr>
          <w:rFonts w:ascii="Arial"/>
          <w:i/>
          <w:sz w:val="14"/>
          <w:lang w:val="en-GB"/>
        </w:rPr>
      </w:pPr>
      <w:r w:rsidRPr="006C5359">
        <w:rPr>
          <w:rFonts w:ascii="Arial"/>
          <w:sz w:val="14"/>
        </w:rPr>
        <w:t xml:space="preserve">Lyudmyla Symochko got her Master's degree in Ecology and Environment Protection in 2000. Doctor's degree </w:t>
      </w:r>
      <w:r>
        <w:rPr>
          <w:rFonts w:ascii="Arial"/>
          <w:sz w:val="14"/>
        </w:rPr>
        <w:t>(Ph.D.) in Ecology (</w:t>
      </w:r>
      <w:r w:rsidRPr="006C5359">
        <w:rPr>
          <w:rFonts w:ascii="Arial"/>
          <w:sz w:val="14"/>
        </w:rPr>
        <w:t>2005</w:t>
      </w:r>
      <w:r>
        <w:rPr>
          <w:rFonts w:ascii="Arial"/>
          <w:sz w:val="14"/>
        </w:rPr>
        <w:t>)</w:t>
      </w:r>
      <w:r w:rsidRPr="006C5359">
        <w:rPr>
          <w:rFonts w:ascii="Arial"/>
          <w:sz w:val="14"/>
        </w:rPr>
        <w:t xml:space="preserve">. She is Associate Professor in Biodiversity conservation since 2008. </w:t>
      </w:r>
      <w:r w:rsidRPr="006C5359">
        <w:rPr>
          <w:rFonts w:ascii="Arial"/>
          <w:i/>
          <w:sz w:val="14"/>
          <w:lang w:val="en-GB"/>
        </w:rPr>
        <w:t xml:space="preserve">Symochko Lyudmyla </w:t>
      </w:r>
      <w:r w:rsidRPr="006C5359">
        <w:rPr>
          <w:rFonts w:ascii="Arial"/>
          <w:i/>
          <w:sz w:val="14"/>
          <w:lang w:val="en-GB"/>
        </w:rPr>
        <w:t>–</w:t>
      </w:r>
      <w:r w:rsidRPr="006C5359">
        <w:rPr>
          <w:rFonts w:ascii="Arial"/>
          <w:i/>
          <w:sz w:val="14"/>
          <w:lang w:val="en-GB"/>
        </w:rPr>
        <w:t xml:space="preserve"> a specialist in environmental microbiology and ecology. Since 2010 she has focused on autecology and synecology researches of soil and water microbiota. Explores the environmental resistome and the role of natural and transformed ecosystems as a reservoir of antibiotic-resistant microorganisms. Detects antibiotic-resistant opportunistic pathogens in the environment and provide they r</w:t>
      </w:r>
      <w:r>
        <w:rPr>
          <w:rFonts w:ascii="Arial"/>
          <w:i/>
          <w:sz w:val="14"/>
          <w:lang w:val="en-GB"/>
        </w:rPr>
        <w:t xml:space="preserve">isk assessment to human health. Since 2022 Invited Professor at Coimbra University, Portugal. </w:t>
      </w:r>
      <w:r w:rsidRPr="006C5359">
        <w:rPr>
          <w:rFonts w:ascii="Arial"/>
          <w:i/>
          <w:sz w:val="14"/>
          <w:lang w:val="en-GB"/>
        </w:rPr>
        <w:t>Author of over 200 scientific publications, including 5 books.</w:t>
      </w:r>
    </w:p>
    <w:p w:rsidR="00AE3E37" w:rsidRDefault="00A9710C" w:rsidP="006C5359">
      <w:pPr>
        <w:spacing w:before="41" w:line="154" w:lineRule="exact"/>
        <w:ind w:left="213" w:right="231"/>
        <w:jc w:val="center"/>
        <w:rPr>
          <w:rFonts w:ascii="Arial"/>
          <w:sz w:val="14"/>
        </w:rPr>
      </w:pPr>
      <w:r>
        <w:rPr>
          <w:rFonts w:ascii="Arial"/>
          <w:sz w:val="14"/>
        </w:rPr>
        <w:t xml:space="preserve">Email: </w:t>
      </w:r>
      <w:hyperlink r:id="rId9" w:history="1">
        <w:r w:rsidR="006C5359" w:rsidRPr="009949EA">
          <w:rPr>
            <w:rStyle w:val="Hyperlink"/>
            <w:rFonts w:ascii="Arial"/>
            <w:sz w:val="14"/>
          </w:rPr>
          <w:t>lyudmilassem@gmail.com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AD3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43DEA">
        <w:rPr>
          <w:sz w:val="20"/>
          <w:szCs w:val="20"/>
          <w:lang w:val="en-NZ"/>
        </w:rPr>
        <w:t>Lyudmyla Symochko</w:t>
      </w:r>
      <w:r w:rsidRPr="00F35A62">
        <w:rPr>
          <w:sz w:val="20"/>
          <w:szCs w:val="20"/>
          <w:lang w:val="en-NZ"/>
        </w:rPr>
        <w:br/>
      </w:r>
      <w:r w:rsidR="00043DEA">
        <w:rPr>
          <w:sz w:val="20"/>
          <w:szCs w:val="20"/>
          <w:lang w:val="en-NZ"/>
        </w:rPr>
        <w:t>Contact number:</w:t>
      </w:r>
      <w:r w:rsidR="00043DEA" w:rsidRPr="00043DEA">
        <w:t xml:space="preserve"> </w:t>
      </w:r>
      <w:r w:rsidR="00043DEA" w:rsidRPr="00043DEA">
        <w:rPr>
          <w:sz w:val="18"/>
          <w:szCs w:val="18"/>
          <w:lang w:val="en-NZ"/>
        </w:rPr>
        <w:t>+351913444091</w:t>
      </w:r>
      <w:r w:rsidR="00043DEA">
        <w:rPr>
          <w:sz w:val="20"/>
          <w:szCs w:val="20"/>
          <w:lang w:val="en-NZ"/>
        </w:rPr>
        <w:br/>
      </w:r>
      <w:r w:rsidRPr="00F35A62">
        <w:rPr>
          <w:sz w:val="20"/>
          <w:szCs w:val="20"/>
          <w:lang w:val="en-NZ"/>
        </w:rPr>
        <w:t>Linked In account:</w:t>
      </w:r>
      <w:r w:rsidR="000778B6" w:rsidRPr="000778B6">
        <w:t xml:space="preserve"> </w:t>
      </w:r>
      <w:r w:rsidR="000778B6" w:rsidRPr="000778B6">
        <w:rPr>
          <w:sz w:val="20"/>
          <w:szCs w:val="20"/>
          <w:lang w:val="en-NZ"/>
        </w:rPr>
        <w:t>https://www.linkedin.com/in/lyudmyla-symochko-913a797b/</w:t>
      </w:r>
    </w:p>
    <w:p w:rsidR="00EA7D51" w:rsidRPr="006C5359" w:rsidRDefault="00EA7D51" w:rsidP="006C5359">
      <w:pPr>
        <w:autoSpaceDE w:val="0"/>
        <w:autoSpaceDN w:val="0"/>
        <w:adjustRightInd w:val="0"/>
        <w:rPr>
          <w:sz w:val="20"/>
          <w:szCs w:val="20"/>
          <w:lang w:val="en-NZ"/>
        </w:rPr>
        <w:sectPr w:rsidR="00EA7D51" w:rsidRPr="006C535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043DEA">
        <w:rPr>
          <w:sz w:val="20"/>
          <w:szCs w:val="20"/>
          <w:lang w:val="en-NZ"/>
        </w:rPr>
        <w:t>Agricultural product Quality and Safety</w:t>
      </w:r>
      <w:r w:rsidRPr="00F35A62">
        <w:rPr>
          <w:sz w:val="20"/>
          <w:szCs w:val="20"/>
          <w:lang w:val="en-NZ"/>
        </w:rPr>
        <w:br/>
        <w:t>Category: (</w:t>
      </w:r>
      <w:r w:rsidRPr="00043DEA">
        <w:rPr>
          <w:sz w:val="20"/>
          <w:szCs w:val="20"/>
          <w:u w:val="single"/>
          <w:lang w:val="en-NZ"/>
        </w:rPr>
        <w:t>Oral presentation</w:t>
      </w:r>
      <w:r w:rsidRPr="00F35A62">
        <w:rPr>
          <w:sz w:val="20"/>
          <w:szCs w:val="20"/>
          <w:lang w:val="en-NZ"/>
        </w:rPr>
        <w:t>/ Poster presentation)</w:t>
      </w:r>
    </w:p>
    <w:p w:rsidR="00AE3E37" w:rsidRDefault="00AE3E37" w:rsidP="00043DEA">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E6A" w:rsidRDefault="00352E6A">
      <w:r>
        <w:separator/>
      </w:r>
    </w:p>
  </w:endnote>
  <w:endnote w:type="continuationSeparator" w:id="0">
    <w:p w:rsidR="00352E6A" w:rsidRDefault="0035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726A9B32" wp14:editId="7ED0B3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A9B32"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E6A" w:rsidRDefault="00352E6A">
      <w:r>
        <w:separator/>
      </w:r>
    </w:p>
  </w:footnote>
  <w:footnote w:type="continuationSeparator" w:id="0">
    <w:p w:rsidR="00352E6A" w:rsidRDefault="00352E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3DEA"/>
    <w:rsid w:val="000534A1"/>
    <w:rsid w:val="0006797A"/>
    <w:rsid w:val="000778B6"/>
    <w:rsid w:val="000B4CAA"/>
    <w:rsid w:val="000E2911"/>
    <w:rsid w:val="001263DF"/>
    <w:rsid w:val="0027013E"/>
    <w:rsid w:val="00292ED9"/>
    <w:rsid w:val="002E061C"/>
    <w:rsid w:val="00351D9B"/>
    <w:rsid w:val="00352E6A"/>
    <w:rsid w:val="00380299"/>
    <w:rsid w:val="003F5B00"/>
    <w:rsid w:val="00404E5B"/>
    <w:rsid w:val="00414F7B"/>
    <w:rsid w:val="004355DC"/>
    <w:rsid w:val="004749B4"/>
    <w:rsid w:val="00475D20"/>
    <w:rsid w:val="00494130"/>
    <w:rsid w:val="004E6DBB"/>
    <w:rsid w:val="004F3523"/>
    <w:rsid w:val="005872C8"/>
    <w:rsid w:val="00590D60"/>
    <w:rsid w:val="005973B9"/>
    <w:rsid w:val="005B3A56"/>
    <w:rsid w:val="005F5737"/>
    <w:rsid w:val="006060CE"/>
    <w:rsid w:val="0061505C"/>
    <w:rsid w:val="0063497F"/>
    <w:rsid w:val="00690997"/>
    <w:rsid w:val="006C5359"/>
    <w:rsid w:val="006D2975"/>
    <w:rsid w:val="00714354"/>
    <w:rsid w:val="007C3F4F"/>
    <w:rsid w:val="00873DF0"/>
    <w:rsid w:val="008756E6"/>
    <w:rsid w:val="00897EC5"/>
    <w:rsid w:val="008A0763"/>
    <w:rsid w:val="008E5477"/>
    <w:rsid w:val="009B2D44"/>
    <w:rsid w:val="00A07E82"/>
    <w:rsid w:val="00A52075"/>
    <w:rsid w:val="00A9710C"/>
    <w:rsid w:val="00AE3E37"/>
    <w:rsid w:val="00B21A57"/>
    <w:rsid w:val="00BE589D"/>
    <w:rsid w:val="00BE6743"/>
    <w:rsid w:val="00C0569A"/>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37392"/>
  <w15:docId w15:val="{8D4C52BC-4BFD-4A1A-9C64-B05D1172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690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4680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yudmilasse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2023-03-15T23:25:00Z</dcterms:created>
  <dcterms:modified xsi:type="dcterms:W3CDTF">2023-03-15T23:26:00Z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