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15B2C" w14:textId="0538DE4D" w:rsidR="00AE3E37" w:rsidRDefault="005F1690" w:rsidP="000534A1">
      <w:pPr>
        <w:pStyle w:val="Nadpis1"/>
        <w:spacing w:before="170"/>
        <w:ind w:left="0"/>
        <w:jc w:val="both"/>
      </w:pPr>
      <w:r>
        <w:rPr>
          <w:color w:val="337AB7"/>
        </w:rPr>
        <w:t xml:space="preserve">Herbal tea mixtures: </w:t>
      </w:r>
      <w:r w:rsidR="006E07DC">
        <w:rPr>
          <w:color w:val="337AB7"/>
        </w:rPr>
        <w:t>The</w:t>
      </w:r>
      <w:r>
        <w:rPr>
          <w:color w:val="337AB7"/>
        </w:rPr>
        <w:t xml:space="preserve"> synergy in the background</w:t>
      </w:r>
    </w:p>
    <w:p w14:paraId="57F3FF36" w14:textId="1A213EB7" w:rsidR="004054C4" w:rsidRDefault="004054C4" w:rsidP="005973B9">
      <w:pPr>
        <w:pStyle w:val="Zkladntext"/>
        <w:spacing w:before="73" w:line="198" w:lineRule="exact"/>
        <w:ind w:left="100" w:right="5987"/>
        <w:rPr>
          <w:rFonts w:ascii="Arial"/>
        </w:rPr>
      </w:pPr>
      <w:r>
        <w:rPr>
          <w:rFonts w:ascii="Arial"/>
        </w:rPr>
        <w:t>Elena Kurin</w:t>
      </w:r>
      <w:r w:rsidR="005973B9">
        <w:rPr>
          <w:rFonts w:ascii="Arial"/>
        </w:rPr>
        <w:t xml:space="preserve">, </w:t>
      </w:r>
      <w:proofErr w:type="spellStart"/>
      <w:r>
        <w:rPr>
          <w:rFonts w:ascii="Arial"/>
        </w:rPr>
        <w:t>PharmDr</w:t>
      </w:r>
      <w:proofErr w:type="spellEnd"/>
      <w:r w:rsidR="005973B9">
        <w:rPr>
          <w:rFonts w:ascii="Arial"/>
        </w:rPr>
        <w:t xml:space="preserve"> </w:t>
      </w:r>
      <w:proofErr w:type="spellStart"/>
      <w:r w:rsidR="0065710C">
        <w:rPr>
          <w:rFonts w:ascii="Arial"/>
        </w:rPr>
        <w:t>Mgr</w:t>
      </w:r>
      <w:proofErr w:type="spellEnd"/>
      <w:r w:rsidR="0065710C">
        <w:rPr>
          <w:rFonts w:ascii="Arial"/>
        </w:rPr>
        <w:t xml:space="preserve"> </w:t>
      </w:r>
      <w:r w:rsidR="005973B9">
        <w:rPr>
          <w:rFonts w:ascii="Arial"/>
        </w:rPr>
        <w:t xml:space="preserve">PhD, </w:t>
      </w:r>
      <w:r>
        <w:rPr>
          <w:rFonts w:ascii="Arial"/>
        </w:rPr>
        <w:t>Faculty of Pharmacy</w:t>
      </w:r>
      <w:r w:rsidR="005973B9">
        <w:rPr>
          <w:rFonts w:ascii="Arial"/>
        </w:rPr>
        <w:t xml:space="preserve">, </w:t>
      </w:r>
      <w:bookmarkStart w:id="0" w:name="_Hlk125557922"/>
      <w:r w:rsidR="000D2236">
        <w:rPr>
          <w:rFonts w:ascii="Arial"/>
        </w:rPr>
        <w:t>Comenius University, Bratislava,</w:t>
      </w:r>
      <w:bookmarkEnd w:id="0"/>
      <w:r w:rsidR="000D2236">
        <w:rPr>
          <w:rFonts w:ascii="Arial"/>
        </w:rPr>
        <w:t xml:space="preserve"> </w:t>
      </w:r>
      <w:r>
        <w:rPr>
          <w:rFonts w:ascii="Arial"/>
        </w:rPr>
        <w:t>Slovakia</w:t>
      </w:r>
    </w:p>
    <w:p w14:paraId="5612101C" w14:textId="3F0CD565" w:rsidR="004054C4" w:rsidRDefault="004054C4" w:rsidP="004054C4">
      <w:pPr>
        <w:pStyle w:val="Zkladntext"/>
        <w:spacing w:before="73" w:line="198" w:lineRule="exact"/>
        <w:ind w:left="100" w:right="5987"/>
        <w:rPr>
          <w:rFonts w:ascii="Arial"/>
        </w:rPr>
      </w:pPr>
      <w:r>
        <w:rPr>
          <w:rFonts w:ascii="Arial"/>
        </w:rPr>
        <w:t xml:space="preserve">Silvia </w:t>
      </w:r>
      <w:r w:rsidR="0065710C">
        <w:rPr>
          <w:rFonts w:ascii="Arial"/>
        </w:rPr>
        <w:t xml:space="preserve">Bittner </w:t>
      </w:r>
      <w:proofErr w:type="spellStart"/>
      <w:r>
        <w:rPr>
          <w:rFonts w:ascii="Arial"/>
        </w:rPr>
        <w:t>Fialo</w:t>
      </w:r>
      <w:r w:rsidR="0065710C">
        <w:rPr>
          <w:rFonts w:ascii="Arial"/>
        </w:rPr>
        <w:t>va</w:t>
      </w:r>
      <w:proofErr w:type="spellEnd"/>
      <w:r w:rsidR="005973B9">
        <w:rPr>
          <w:rFonts w:ascii="Arial"/>
        </w:rPr>
        <w:t xml:space="preserve">, </w:t>
      </w:r>
      <w:r w:rsidR="006E07DC">
        <w:rPr>
          <w:rFonts w:ascii="Arial"/>
        </w:rPr>
        <w:t xml:space="preserve">Assoc Prof </w:t>
      </w:r>
      <w:proofErr w:type="spellStart"/>
      <w:r>
        <w:rPr>
          <w:rFonts w:ascii="Arial"/>
        </w:rPr>
        <w:t>PharmDr</w:t>
      </w:r>
      <w:proofErr w:type="spellEnd"/>
      <w:r>
        <w:rPr>
          <w:rFonts w:ascii="Arial"/>
        </w:rPr>
        <w:t xml:space="preserve"> PhD, Faculty of Pharmacy, </w:t>
      </w:r>
      <w:r w:rsidR="00C948E4">
        <w:rPr>
          <w:rFonts w:ascii="Arial"/>
        </w:rPr>
        <w:t xml:space="preserve">Comenius University, </w:t>
      </w:r>
      <w:proofErr w:type="spellStart"/>
      <w:r w:rsidR="00C948E4">
        <w:rPr>
          <w:rFonts w:ascii="Arial"/>
        </w:rPr>
        <w:t>Bratislava,</w:t>
      </w:r>
      <w:r>
        <w:rPr>
          <w:rFonts w:ascii="Arial"/>
        </w:rPr>
        <w:t>Slovakia</w:t>
      </w:r>
      <w:proofErr w:type="spellEnd"/>
    </w:p>
    <w:p w14:paraId="427CC2DE" w14:textId="104C31BA" w:rsidR="0065710C" w:rsidRDefault="0065710C" w:rsidP="0065710C">
      <w:pPr>
        <w:pStyle w:val="Zkladntext"/>
        <w:spacing w:before="73" w:line="198" w:lineRule="exact"/>
        <w:ind w:left="100" w:right="5987"/>
        <w:rPr>
          <w:rFonts w:ascii="Arial"/>
        </w:rPr>
      </w:pPr>
      <w:r>
        <w:rPr>
          <w:rFonts w:ascii="Arial"/>
        </w:rPr>
        <w:t xml:space="preserve">Eva </w:t>
      </w:r>
      <w:proofErr w:type="spellStart"/>
      <w:r>
        <w:rPr>
          <w:rFonts w:ascii="Arial"/>
        </w:rPr>
        <w:t>Trajcikova</w:t>
      </w:r>
      <w:proofErr w:type="spellEnd"/>
      <w:r>
        <w:rPr>
          <w:rFonts w:ascii="Arial"/>
        </w:rPr>
        <w:t xml:space="preserve">, </w:t>
      </w:r>
      <w:proofErr w:type="spellStart"/>
      <w:r>
        <w:rPr>
          <w:rFonts w:ascii="Arial"/>
        </w:rPr>
        <w:t>PharmDr</w:t>
      </w:r>
      <w:proofErr w:type="spellEnd"/>
      <w:r>
        <w:rPr>
          <w:rFonts w:ascii="Arial"/>
        </w:rPr>
        <w:t xml:space="preserve"> PhD, Faculty of Pharmacy, </w:t>
      </w:r>
      <w:r w:rsidR="00C948E4">
        <w:rPr>
          <w:rFonts w:ascii="Arial"/>
        </w:rPr>
        <w:t xml:space="preserve">Comenius University, </w:t>
      </w:r>
      <w:proofErr w:type="spellStart"/>
      <w:r w:rsidR="00C948E4">
        <w:rPr>
          <w:rFonts w:ascii="Arial"/>
        </w:rPr>
        <w:t>Bratislava,</w:t>
      </w:r>
      <w:r>
        <w:rPr>
          <w:rFonts w:ascii="Arial"/>
        </w:rPr>
        <w:t>Slovakia</w:t>
      </w:r>
      <w:proofErr w:type="spellEnd"/>
    </w:p>
    <w:p w14:paraId="07C500BE" w14:textId="7158E3BF" w:rsidR="0065710C" w:rsidRDefault="0065710C" w:rsidP="0065710C">
      <w:pPr>
        <w:pStyle w:val="Zkladntext"/>
        <w:spacing w:before="73" w:line="198" w:lineRule="exact"/>
        <w:ind w:left="100" w:right="5987"/>
        <w:rPr>
          <w:rFonts w:ascii="Arial"/>
        </w:rPr>
      </w:pPr>
      <w:r>
        <w:rPr>
          <w:rFonts w:ascii="Arial"/>
        </w:rPr>
        <w:t xml:space="preserve">Pavel </w:t>
      </w:r>
      <w:proofErr w:type="spellStart"/>
      <w:r>
        <w:rPr>
          <w:rFonts w:ascii="Arial"/>
        </w:rPr>
        <w:t>Mucaji</w:t>
      </w:r>
      <w:proofErr w:type="spellEnd"/>
      <w:r>
        <w:rPr>
          <w:rFonts w:ascii="Arial"/>
        </w:rPr>
        <w:t xml:space="preserve">, Prof </w:t>
      </w:r>
      <w:proofErr w:type="spellStart"/>
      <w:r>
        <w:rPr>
          <w:rFonts w:ascii="Arial"/>
        </w:rPr>
        <w:t>PharmDr</w:t>
      </w:r>
      <w:proofErr w:type="spellEnd"/>
      <w:r>
        <w:rPr>
          <w:rFonts w:ascii="Arial"/>
        </w:rPr>
        <w:t xml:space="preserve"> PhD, Faculty of Pharmacy, </w:t>
      </w:r>
      <w:r w:rsidR="00C948E4">
        <w:rPr>
          <w:rFonts w:ascii="Arial"/>
        </w:rPr>
        <w:t xml:space="preserve">Comenius University, </w:t>
      </w:r>
      <w:proofErr w:type="spellStart"/>
      <w:r w:rsidR="00C948E4">
        <w:rPr>
          <w:rFonts w:ascii="Arial"/>
        </w:rPr>
        <w:t>Bratislava,</w:t>
      </w:r>
      <w:r>
        <w:rPr>
          <w:rFonts w:ascii="Arial"/>
        </w:rPr>
        <w:t>Slovakia</w:t>
      </w:r>
      <w:proofErr w:type="spellEnd"/>
    </w:p>
    <w:p w14:paraId="2CEAD4D6" w14:textId="2A53DE98" w:rsidR="0065710C" w:rsidRDefault="0065710C" w:rsidP="0065710C">
      <w:pPr>
        <w:pStyle w:val="Zkladntext"/>
        <w:spacing w:before="73" w:line="198" w:lineRule="exact"/>
        <w:ind w:left="100" w:right="5987"/>
        <w:rPr>
          <w:rFonts w:ascii="Arial"/>
        </w:rPr>
      </w:pPr>
      <w:r>
        <w:rPr>
          <w:rFonts w:ascii="Arial"/>
        </w:rPr>
        <w:t xml:space="preserve">Milan Nagy, Prof Ing </w:t>
      </w:r>
      <w:proofErr w:type="spellStart"/>
      <w:r>
        <w:rPr>
          <w:rFonts w:ascii="Arial"/>
        </w:rPr>
        <w:t>C</w:t>
      </w:r>
      <w:r w:rsidR="00CC0DAA">
        <w:rPr>
          <w:rFonts w:ascii="Arial"/>
        </w:rPr>
        <w:t>Sc</w:t>
      </w:r>
      <w:proofErr w:type="spellEnd"/>
      <w:r>
        <w:rPr>
          <w:rFonts w:ascii="Arial"/>
        </w:rPr>
        <w:t>,</w:t>
      </w:r>
      <w:r w:rsidRPr="0065710C">
        <w:rPr>
          <w:rFonts w:ascii="Arial"/>
        </w:rPr>
        <w:t xml:space="preserve"> </w:t>
      </w:r>
      <w:r>
        <w:rPr>
          <w:rFonts w:ascii="Arial"/>
        </w:rPr>
        <w:t xml:space="preserve">Faculty of Pharmacy, </w:t>
      </w:r>
      <w:r w:rsidR="00C948E4">
        <w:rPr>
          <w:rFonts w:ascii="Arial"/>
        </w:rPr>
        <w:t xml:space="preserve">Comenius University, </w:t>
      </w:r>
      <w:proofErr w:type="spellStart"/>
      <w:r w:rsidR="00C948E4">
        <w:rPr>
          <w:rFonts w:ascii="Arial"/>
        </w:rPr>
        <w:t>Bratislava,</w:t>
      </w:r>
      <w:r>
        <w:rPr>
          <w:rFonts w:ascii="Arial"/>
        </w:rPr>
        <w:t>Slovakia</w:t>
      </w:r>
      <w:proofErr w:type="spellEnd"/>
    </w:p>
    <w:p w14:paraId="48334EEC" w14:textId="47F3E34B" w:rsidR="005973B9" w:rsidRDefault="005973B9" w:rsidP="005973B9">
      <w:pPr>
        <w:pStyle w:val="Zkladntext"/>
        <w:spacing w:before="73" w:line="198" w:lineRule="exact"/>
        <w:ind w:left="100" w:right="5987"/>
        <w:rPr>
          <w:rFonts w:ascii="Arial"/>
        </w:rPr>
      </w:pPr>
    </w:p>
    <w:p w14:paraId="73678674" w14:textId="77777777" w:rsidR="00AE3E37" w:rsidRDefault="00AE3E37">
      <w:pPr>
        <w:pStyle w:val="Zkladntext"/>
        <w:rPr>
          <w:rFonts w:ascii="Arial"/>
          <w:sz w:val="20"/>
        </w:rPr>
      </w:pPr>
    </w:p>
    <w:p w14:paraId="659DFE5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933F0C0" w14:textId="14D6D3C7" w:rsidR="00AE3E37" w:rsidRDefault="00A9710C">
      <w:pPr>
        <w:pStyle w:val="Nadpis3"/>
        <w:spacing w:before="147"/>
        <w:jc w:val="both"/>
      </w:pPr>
      <w:r>
        <w:rPr>
          <w:color w:val="BF5A14"/>
        </w:rPr>
        <w:t>Abstract</w:t>
      </w:r>
      <w:r w:rsidR="00404E5B">
        <w:rPr>
          <w:color w:val="BF5A14"/>
        </w:rPr>
        <w:t xml:space="preserve"> </w:t>
      </w:r>
    </w:p>
    <w:p w14:paraId="58A7F414" w14:textId="36BFB7FD" w:rsidR="00AE3E37" w:rsidRDefault="00BF27FB">
      <w:pPr>
        <w:pStyle w:val="Zkladntext"/>
        <w:spacing w:before="90" w:line="280" w:lineRule="auto"/>
        <w:ind w:left="100"/>
        <w:jc w:val="both"/>
      </w:pPr>
      <w:r w:rsidRPr="00CC0DAA">
        <w:rPr>
          <w:i/>
          <w:iCs/>
        </w:rPr>
        <w:t>Camellia sinensis</w:t>
      </w:r>
      <w:r w:rsidRPr="00BF27FB">
        <w:t xml:space="preserve"> </w:t>
      </w:r>
      <w:proofErr w:type="spellStart"/>
      <w:r w:rsidRPr="00BF27FB">
        <w:t>Kuntze</w:t>
      </w:r>
      <w:proofErr w:type="spellEnd"/>
      <w:r w:rsidRPr="00BF27FB">
        <w:t xml:space="preserve"> and </w:t>
      </w:r>
      <w:r w:rsidRPr="00CC0DAA">
        <w:rPr>
          <w:i/>
          <w:iCs/>
        </w:rPr>
        <w:t>Mentha × piperita</w:t>
      </w:r>
      <w:r w:rsidRPr="00BF27FB">
        <w:t xml:space="preserve"> L. are plants </w:t>
      </w:r>
      <w:r w:rsidR="006E07DC">
        <w:t>from different</w:t>
      </w:r>
      <w:r w:rsidR="00E47B11">
        <w:t xml:space="preserve"> taxonomic</w:t>
      </w:r>
      <w:r w:rsidR="006E07DC">
        <w:t xml:space="preserve"> orders</w:t>
      </w:r>
      <w:r w:rsidRPr="00BF27FB">
        <w:t>. However, both enjoy great worldwide popularity for the well-known drinks</w:t>
      </w:r>
      <w:r w:rsidR="00F153B7">
        <w:t xml:space="preserve"> </w:t>
      </w:r>
      <w:r w:rsidR="00F153B7" w:rsidRPr="00BF27FB">
        <w:t xml:space="preserve">prepared as a water infusion from </w:t>
      </w:r>
      <w:r w:rsidR="00F153B7">
        <w:t>their</w:t>
      </w:r>
      <w:r w:rsidR="00F153B7" w:rsidRPr="00BF27FB">
        <w:t xml:space="preserve"> leaves</w:t>
      </w:r>
      <w:r w:rsidR="00F153B7">
        <w:t>:</w:t>
      </w:r>
      <w:r w:rsidRPr="00BF27FB">
        <w:t xml:space="preserve"> green tea and peppermint tea</w:t>
      </w:r>
      <w:r w:rsidR="00F153B7">
        <w:t>.</w:t>
      </w:r>
      <w:r w:rsidRPr="00BF27FB">
        <w:t xml:space="preserve"> </w:t>
      </w:r>
      <w:r w:rsidR="00F153B7">
        <w:t>Both</w:t>
      </w:r>
      <w:r w:rsidRPr="00BF27FB">
        <w:t xml:space="preserve"> plant</w:t>
      </w:r>
      <w:r w:rsidR="00274A83">
        <w:t>s</w:t>
      </w:r>
      <w:r w:rsidRPr="00BF27FB">
        <w:t xml:space="preserve"> </w:t>
      </w:r>
      <w:r w:rsidR="00F153B7">
        <w:t>are</w:t>
      </w:r>
      <w:r w:rsidRPr="00BF27FB">
        <w:t xml:space="preserve"> a rich source of polyphenols, known antioxidants that are the subject of research in medicinal plants and food stabilization as well. Most of the studies focus on investigating the effects of individual plants. But in combinations a hidden synergy can occur, mainly when the chemical composition of individual plants is different. Therefore, we explored the antioxidant activity of peppermint and green tea leaves lyophilizates</w:t>
      </w:r>
      <w:r w:rsidR="00DF22D8">
        <w:t>, respectively</w:t>
      </w:r>
      <w:r w:rsidRPr="00BF27FB">
        <w:t>. In addition, using different mixing method and different extract ratios we prepared lyophilize</w:t>
      </w:r>
      <w:r w:rsidR="00274A83">
        <w:t>d</w:t>
      </w:r>
      <w:r w:rsidRPr="00BF27FB">
        <w:t xml:space="preserve"> mixtures, which </w:t>
      </w:r>
      <w:r w:rsidR="00DF22D8" w:rsidRPr="00BF27FB">
        <w:t xml:space="preserve">antioxidant activity </w:t>
      </w:r>
      <w:r w:rsidRPr="00BF27FB">
        <w:t>w</w:t>
      </w:r>
      <w:r w:rsidR="00DF22D8">
        <w:t>as</w:t>
      </w:r>
      <w:r w:rsidRPr="00BF27FB">
        <w:t xml:space="preserve"> subsequently </w:t>
      </w:r>
      <w:r w:rsidR="00DF22D8">
        <w:t>evaluat</w:t>
      </w:r>
      <w:r w:rsidRPr="00BF27FB">
        <w:t>ed</w:t>
      </w:r>
      <w:r w:rsidR="00DF22D8">
        <w:t>.</w:t>
      </w:r>
      <w:r w:rsidRPr="00BF27FB">
        <w:t xml:space="preserve"> Interaction analysis revealed the hidden synergy in several mixtures to quench </w:t>
      </w:r>
      <w:r w:rsidR="00F33005">
        <w:t xml:space="preserve">the </w:t>
      </w:r>
      <w:r w:rsidRPr="00BF27FB">
        <w:t xml:space="preserve">DPPH radical and in </w:t>
      </w:r>
      <w:r w:rsidR="003F6AA6">
        <w:t xml:space="preserve">the </w:t>
      </w:r>
      <w:r w:rsidRPr="00BF27FB">
        <w:t>DCF cell</w:t>
      </w:r>
      <w:r w:rsidR="00274A83">
        <w:t>-</w:t>
      </w:r>
      <w:r w:rsidRPr="00BF27FB">
        <w:t>based antioxidant assay. We</w:t>
      </w:r>
      <w:r w:rsidR="00274A83">
        <w:t xml:space="preserve"> </w:t>
      </w:r>
      <w:r w:rsidR="00274A83" w:rsidRPr="00BF27FB">
        <w:t>also</w:t>
      </w:r>
      <w:r w:rsidRPr="00BF27FB">
        <w:t xml:space="preserve"> performed an interaction analysis of </w:t>
      </w:r>
      <w:r w:rsidR="00274A83">
        <w:t xml:space="preserve">the </w:t>
      </w:r>
      <w:r w:rsidRPr="00BF27FB">
        <w:t xml:space="preserve">combination </w:t>
      </w:r>
      <w:r w:rsidR="00F00C96">
        <w:t xml:space="preserve">of </w:t>
      </w:r>
      <w:r w:rsidR="00F00C96" w:rsidRPr="00BF27FB">
        <w:t>polyphenol</w:t>
      </w:r>
      <w:r w:rsidR="00F00C96">
        <w:t>s</w:t>
      </w:r>
      <w:r w:rsidR="00F00C96" w:rsidRPr="00BF27FB">
        <w:t xml:space="preserve"> </w:t>
      </w:r>
      <w:r w:rsidRPr="00BF27FB">
        <w:t>present in the green tea</w:t>
      </w:r>
      <w:r w:rsidR="00274A83" w:rsidRPr="00BF27FB">
        <w:t xml:space="preserve"> </w:t>
      </w:r>
      <w:r w:rsidRPr="00BF27FB">
        <w:t>(epigallocatechin gallate and quercetin) and peppermint tea (rosmarinic acid)</w:t>
      </w:r>
      <w:r w:rsidR="00F00C96">
        <w:t>, respectively</w:t>
      </w:r>
      <w:r w:rsidRPr="00BF27FB">
        <w:t xml:space="preserve">. We discovered synergy among polyphenols in </w:t>
      </w:r>
      <w:r w:rsidR="00F33005">
        <w:t xml:space="preserve">the </w:t>
      </w:r>
      <w:r w:rsidRPr="00BF27FB">
        <w:t>DPPH assay, which can partially enlighten the interaction of the lyophilizates on molecular level. Our work support</w:t>
      </w:r>
      <w:r w:rsidR="00274A83">
        <w:t>s</w:t>
      </w:r>
      <w:r w:rsidRPr="00BF27FB">
        <w:t xml:space="preserve"> the old practice of combin</w:t>
      </w:r>
      <w:r w:rsidR="00274A83">
        <w:t>ing the</w:t>
      </w:r>
      <w:r w:rsidRPr="00BF27FB">
        <w:t xml:space="preserve"> herbal substances into herbal tea mixtures, where the achieved effects are higher, than expected.</w:t>
      </w:r>
    </w:p>
    <w:p w14:paraId="740238AD" w14:textId="0B8373BD" w:rsidR="0045512B" w:rsidRDefault="0045512B">
      <w:pPr>
        <w:pStyle w:val="Zkladntext"/>
        <w:spacing w:before="90" w:line="280" w:lineRule="auto"/>
        <w:ind w:left="100"/>
        <w:jc w:val="both"/>
      </w:pPr>
      <w:r w:rsidRPr="0045512B">
        <w:t>Acknowledgements: this work was supported by VEGA grants 1/0226/22 and VEGA 1/0284/20.</w:t>
      </w:r>
    </w:p>
    <w:p w14:paraId="3E4B86B2" w14:textId="7059EFDA" w:rsidR="00AE3E37" w:rsidRDefault="00A9710C">
      <w:pPr>
        <w:pStyle w:val="Nadpis3"/>
        <w:spacing w:before="74"/>
        <w:rPr>
          <w:color w:val="BF5A14"/>
        </w:rPr>
      </w:pPr>
      <w:r>
        <w:rPr>
          <w:b w:val="0"/>
        </w:rPr>
        <w:br w:type="column"/>
      </w:r>
      <w:r>
        <w:rPr>
          <w:color w:val="BF5A14"/>
        </w:rPr>
        <w:t>Image</w:t>
      </w:r>
    </w:p>
    <w:p w14:paraId="45536812" w14:textId="3CC68705" w:rsidR="00D64F5C" w:rsidRDefault="00D64F5C">
      <w:pPr>
        <w:pStyle w:val="Nadpis3"/>
        <w:spacing w:before="74"/>
      </w:pPr>
    </w:p>
    <w:p w14:paraId="727B35ED" w14:textId="3BA69853" w:rsidR="00AE3E37" w:rsidRDefault="00A3255C">
      <w:pPr>
        <w:pStyle w:val="Zkladntext"/>
        <w:spacing w:before="2"/>
        <w:rPr>
          <w:rFonts w:ascii="Arial"/>
          <w:b/>
          <w:sz w:val="16"/>
        </w:rPr>
      </w:pPr>
      <w:r>
        <w:rPr>
          <w:rFonts w:ascii="Arial"/>
          <w:b/>
          <w:noProof/>
          <w:sz w:val="16"/>
        </w:rPr>
        <w:drawing>
          <wp:inline distT="0" distB="0" distL="0" distR="0" wp14:anchorId="012E6958" wp14:editId="49724B5D">
            <wp:extent cx="3384098" cy="943610"/>
            <wp:effectExtent l="0" t="0" r="6985" b="889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7634" cy="944596"/>
                    </a:xfrm>
                    <a:prstGeom prst="rect">
                      <a:avLst/>
                    </a:prstGeom>
                    <a:noFill/>
                  </pic:spPr>
                </pic:pic>
              </a:graphicData>
            </a:graphic>
          </wp:inline>
        </w:drawing>
      </w:r>
    </w:p>
    <w:p w14:paraId="35B71DBC" w14:textId="77777777" w:rsidR="00AD04EB" w:rsidRPr="00AD04EB" w:rsidRDefault="00AD04EB" w:rsidP="005973B9">
      <w:pPr>
        <w:spacing w:line="204" w:lineRule="exact"/>
        <w:rPr>
          <w:bCs/>
          <w:color w:val="000000" w:themeColor="text1"/>
          <w:sz w:val="14"/>
          <w:szCs w:val="16"/>
        </w:rPr>
      </w:pPr>
    </w:p>
    <w:p w14:paraId="0D0F65CA" w14:textId="618A6C12" w:rsidR="00AD04EB" w:rsidRPr="00AD04EB" w:rsidRDefault="00AD04EB" w:rsidP="00AD04EB">
      <w:pPr>
        <w:spacing w:line="204" w:lineRule="exact"/>
        <w:jc w:val="both"/>
        <w:rPr>
          <w:bCs/>
          <w:color w:val="000000" w:themeColor="text1"/>
          <w:sz w:val="14"/>
          <w:szCs w:val="16"/>
        </w:rPr>
      </w:pPr>
      <w:r w:rsidRPr="00AD04EB">
        <w:rPr>
          <w:bCs/>
          <w:color w:val="000000" w:themeColor="text1"/>
          <w:sz w:val="14"/>
          <w:szCs w:val="16"/>
        </w:rPr>
        <w:t xml:space="preserve">Table 1. Interaction analysis of CI value indicates synergy, additivity or antagonism, when it is &lt;, = or &gt; than 1. Each value error bars are expressed as ± SDA. Measured mixtures are abbreviated as common green tea and peppermint tea lyophilizate in 3:2 ratio (lyo;GT:PM;3:2), mixture of single green tea and peppermint lyophilizate in 1:1 or 3:2 ratio (GT:PM;1:1 or GT:PM;3:2). Polyphenols are abbreviated as epigallocatechin gallate (EGCG), quercetin (Q) and rosmarinic acid (RA). Antioxidant assays are abbreviated as 2,2-diphenyl-1-picrylhydrazyl scavenging (DPPH), </w:t>
      </w:r>
      <w:proofErr w:type="spellStart"/>
      <w:r w:rsidRPr="00AD04EB">
        <w:rPr>
          <w:bCs/>
          <w:color w:val="000000" w:themeColor="text1"/>
          <w:sz w:val="14"/>
          <w:szCs w:val="16"/>
        </w:rPr>
        <w:t>dichlorodihydrofluorescein</w:t>
      </w:r>
      <w:proofErr w:type="spellEnd"/>
      <w:r w:rsidRPr="00AD04EB">
        <w:rPr>
          <w:bCs/>
          <w:color w:val="000000" w:themeColor="text1"/>
          <w:sz w:val="14"/>
          <w:szCs w:val="16"/>
        </w:rPr>
        <w:t xml:space="preserve"> diacetate (DCF-DA).</w:t>
      </w:r>
    </w:p>
    <w:p w14:paraId="199DC6CB" w14:textId="77777777" w:rsidR="00AD04EB" w:rsidRDefault="00AD04EB" w:rsidP="005973B9">
      <w:pPr>
        <w:spacing w:line="204" w:lineRule="exact"/>
        <w:rPr>
          <w:rFonts w:ascii="Arial"/>
          <w:b/>
          <w:color w:val="BF5A14"/>
          <w:sz w:val="20"/>
        </w:rPr>
      </w:pPr>
    </w:p>
    <w:p w14:paraId="7BD0A813" w14:textId="1660C622" w:rsidR="005973B9" w:rsidRPr="005A128D" w:rsidRDefault="005973B9" w:rsidP="005973B9">
      <w:pPr>
        <w:spacing w:line="204" w:lineRule="exact"/>
        <w:rPr>
          <w:rFonts w:ascii="Arial"/>
          <w:b/>
          <w:sz w:val="20"/>
        </w:rPr>
      </w:pPr>
      <w:r>
        <w:rPr>
          <w:rFonts w:ascii="Arial"/>
          <w:b/>
          <w:color w:val="BF5A14"/>
          <w:sz w:val="20"/>
        </w:rPr>
        <w:br/>
      </w:r>
      <w:r w:rsidRPr="005A128D">
        <w:rPr>
          <w:rFonts w:ascii="Arial"/>
          <w:b/>
          <w:color w:val="BF5A14"/>
          <w:sz w:val="20"/>
        </w:rPr>
        <w:t>Recent Publications</w:t>
      </w:r>
    </w:p>
    <w:p w14:paraId="0ECCDF29" w14:textId="5F4D82DD" w:rsidR="005973B9" w:rsidRPr="005A128D" w:rsidRDefault="003106DF" w:rsidP="005973B9">
      <w:pPr>
        <w:pStyle w:val="Odsekzoznamu"/>
        <w:numPr>
          <w:ilvl w:val="0"/>
          <w:numId w:val="3"/>
        </w:numPr>
        <w:tabs>
          <w:tab w:val="left" w:pos="384"/>
        </w:tabs>
        <w:spacing w:before="103" w:line="216" w:lineRule="exact"/>
        <w:ind w:right="138" w:hanging="283"/>
        <w:rPr>
          <w:sz w:val="18"/>
        </w:rPr>
      </w:pPr>
      <w:proofErr w:type="spellStart"/>
      <w:r w:rsidRPr="005A128D">
        <w:rPr>
          <w:sz w:val="18"/>
        </w:rPr>
        <w:t>Gancar</w:t>
      </w:r>
      <w:proofErr w:type="spellEnd"/>
      <w:r w:rsidR="005973B9" w:rsidRPr="005A128D">
        <w:rPr>
          <w:sz w:val="18"/>
        </w:rPr>
        <w:t xml:space="preserve"> </w:t>
      </w:r>
      <w:r w:rsidRPr="005A128D">
        <w:rPr>
          <w:sz w:val="18"/>
        </w:rPr>
        <w:t>M</w:t>
      </w:r>
      <w:r w:rsidR="009F392C" w:rsidRPr="005A128D">
        <w:rPr>
          <w:sz w:val="18"/>
        </w:rPr>
        <w:t xml:space="preserve">, Kurin E et al </w:t>
      </w:r>
      <w:r w:rsidR="005973B9" w:rsidRPr="005A128D">
        <w:rPr>
          <w:sz w:val="18"/>
        </w:rPr>
        <w:t>(20</w:t>
      </w:r>
      <w:r w:rsidRPr="005A128D">
        <w:rPr>
          <w:sz w:val="18"/>
        </w:rPr>
        <w:t>20</w:t>
      </w:r>
      <w:r w:rsidR="005973B9" w:rsidRPr="005A128D">
        <w:rPr>
          <w:sz w:val="18"/>
        </w:rPr>
        <w:t xml:space="preserve">) </w:t>
      </w:r>
      <w:r w:rsidRPr="005A128D">
        <w:rPr>
          <w:sz w:val="18"/>
        </w:rPr>
        <w:t>Amyloid Aggregation of Insulin: An Interaction Study of Green Tea Constituents</w:t>
      </w:r>
      <w:r w:rsidR="005973B9" w:rsidRPr="005A128D">
        <w:rPr>
          <w:sz w:val="18"/>
        </w:rPr>
        <w:t xml:space="preserve">. </w:t>
      </w:r>
      <w:r w:rsidRPr="005A128D">
        <w:rPr>
          <w:sz w:val="18"/>
        </w:rPr>
        <w:t>Scientific Reports 10:244-255</w:t>
      </w:r>
      <w:r w:rsidR="005973B9" w:rsidRPr="005A128D">
        <w:rPr>
          <w:sz w:val="18"/>
        </w:rPr>
        <w:t>.</w:t>
      </w:r>
    </w:p>
    <w:p w14:paraId="6499DDEA" w14:textId="2ADD6790" w:rsidR="005973B9" w:rsidRPr="000E2AFD" w:rsidRDefault="009F392C" w:rsidP="005973B9">
      <w:pPr>
        <w:pStyle w:val="Odsekzoznamu"/>
        <w:numPr>
          <w:ilvl w:val="0"/>
          <w:numId w:val="3"/>
        </w:numPr>
        <w:tabs>
          <w:tab w:val="left" w:pos="384"/>
        </w:tabs>
        <w:spacing w:line="216" w:lineRule="exact"/>
        <w:ind w:right="137" w:hanging="283"/>
        <w:rPr>
          <w:sz w:val="18"/>
        </w:rPr>
      </w:pPr>
      <w:r w:rsidRPr="009F392C">
        <w:rPr>
          <w:sz w:val="18"/>
        </w:rPr>
        <w:t>Novotny B</w:t>
      </w:r>
      <w:r w:rsidR="005973B9" w:rsidRPr="009F392C">
        <w:rPr>
          <w:sz w:val="18"/>
        </w:rPr>
        <w:t xml:space="preserve">, </w:t>
      </w:r>
      <w:r w:rsidRPr="009F392C">
        <w:rPr>
          <w:sz w:val="18"/>
        </w:rPr>
        <w:t>Nagy</w:t>
      </w:r>
      <w:r w:rsidR="005973B9" w:rsidRPr="009F392C">
        <w:rPr>
          <w:sz w:val="18"/>
        </w:rPr>
        <w:t xml:space="preserve"> M</w:t>
      </w:r>
      <w:r w:rsidRPr="009F392C">
        <w:rPr>
          <w:sz w:val="18"/>
        </w:rPr>
        <w:t>, Kurin E</w:t>
      </w:r>
      <w:r w:rsidR="005973B9" w:rsidRPr="009F392C">
        <w:rPr>
          <w:sz w:val="18"/>
        </w:rPr>
        <w:t xml:space="preserve"> (20</w:t>
      </w:r>
      <w:r w:rsidRPr="009F392C">
        <w:rPr>
          <w:sz w:val="18"/>
        </w:rPr>
        <w:t>21</w:t>
      </w:r>
      <w:r w:rsidR="005973B9" w:rsidRPr="009F392C">
        <w:rPr>
          <w:sz w:val="18"/>
        </w:rPr>
        <w:t xml:space="preserve">) </w:t>
      </w:r>
      <w:r w:rsidRPr="009F392C">
        <w:rPr>
          <w:sz w:val="18"/>
        </w:rPr>
        <w:t>Synergy evaluation of non-</w:t>
      </w:r>
      <w:proofErr w:type="spellStart"/>
      <w:r w:rsidRPr="009F392C">
        <w:rPr>
          <w:sz w:val="18"/>
        </w:rPr>
        <w:t>normalizable</w:t>
      </w:r>
      <w:proofErr w:type="spellEnd"/>
      <w:r w:rsidRPr="009F392C">
        <w:rPr>
          <w:sz w:val="18"/>
        </w:rPr>
        <w:t xml:space="preserve"> dose-response data: Generalization of combination index for the linear effect of drugs</w:t>
      </w:r>
      <w:r w:rsidR="005973B9" w:rsidRPr="009F392C">
        <w:rPr>
          <w:sz w:val="18"/>
        </w:rPr>
        <w:t xml:space="preserve">. </w:t>
      </w:r>
      <w:r w:rsidRPr="009F392C">
        <w:rPr>
          <w:sz w:val="18"/>
        </w:rPr>
        <w:t>Pharmaceutical Statistics 20:</w:t>
      </w:r>
      <w:r w:rsidRPr="000E2AFD">
        <w:rPr>
          <w:sz w:val="18"/>
        </w:rPr>
        <w:t>982-989</w:t>
      </w:r>
      <w:r w:rsidR="005973B9" w:rsidRPr="000E2AFD">
        <w:rPr>
          <w:sz w:val="18"/>
        </w:rPr>
        <w:t>.</w:t>
      </w:r>
    </w:p>
    <w:p w14:paraId="7DE358C8" w14:textId="7F255973" w:rsidR="005973B9" w:rsidRPr="00D354C7" w:rsidRDefault="000E2AFD" w:rsidP="000E2AFD">
      <w:pPr>
        <w:pStyle w:val="Odsekzoznamu"/>
        <w:numPr>
          <w:ilvl w:val="0"/>
          <w:numId w:val="3"/>
        </w:numPr>
        <w:tabs>
          <w:tab w:val="left" w:pos="384"/>
        </w:tabs>
        <w:spacing w:line="216" w:lineRule="exact"/>
        <w:ind w:right="138"/>
        <w:rPr>
          <w:sz w:val="18"/>
        </w:rPr>
      </w:pPr>
      <w:r w:rsidRPr="000E2AFD">
        <w:rPr>
          <w:sz w:val="18"/>
        </w:rPr>
        <w:t xml:space="preserve">Bittner </w:t>
      </w:r>
      <w:proofErr w:type="spellStart"/>
      <w:r w:rsidRPr="000E2AFD">
        <w:rPr>
          <w:sz w:val="18"/>
        </w:rPr>
        <w:t>Fialova</w:t>
      </w:r>
      <w:proofErr w:type="spellEnd"/>
      <w:r w:rsidRPr="000E2AFD">
        <w:rPr>
          <w:sz w:val="18"/>
        </w:rPr>
        <w:t xml:space="preserve"> S, </w:t>
      </w:r>
      <w:r w:rsidRPr="00D354C7">
        <w:rPr>
          <w:sz w:val="18"/>
        </w:rPr>
        <w:t>Kurin E et al</w:t>
      </w:r>
      <w:r w:rsidR="005973B9" w:rsidRPr="00D354C7">
        <w:rPr>
          <w:sz w:val="18"/>
        </w:rPr>
        <w:t xml:space="preserve"> (20</w:t>
      </w:r>
      <w:r w:rsidRPr="00D354C7">
        <w:rPr>
          <w:sz w:val="18"/>
        </w:rPr>
        <w:t>20</w:t>
      </w:r>
      <w:r w:rsidR="00F35A62" w:rsidRPr="00D354C7">
        <w:rPr>
          <w:sz w:val="18"/>
        </w:rPr>
        <w:t xml:space="preserve">) </w:t>
      </w:r>
      <w:r w:rsidRPr="00D354C7">
        <w:rPr>
          <w:sz w:val="18"/>
        </w:rPr>
        <w:t>Mentha Rhizomes as an Alternative Source of Natural Antioxidants</w:t>
      </w:r>
      <w:r w:rsidR="005973B9" w:rsidRPr="00D354C7">
        <w:rPr>
          <w:sz w:val="18"/>
        </w:rPr>
        <w:t xml:space="preserve">. </w:t>
      </w:r>
      <w:r w:rsidRPr="00D354C7">
        <w:rPr>
          <w:sz w:val="18"/>
        </w:rPr>
        <w:tab/>
        <w:t>Molecules 25</w:t>
      </w:r>
      <w:r w:rsidR="00693560">
        <w:rPr>
          <w:sz w:val="18"/>
        </w:rPr>
        <w:t>(1)</w:t>
      </w:r>
      <w:r w:rsidRPr="00D354C7">
        <w:rPr>
          <w:sz w:val="18"/>
        </w:rPr>
        <w:t>:1-14.</w:t>
      </w:r>
    </w:p>
    <w:p w14:paraId="3400636D" w14:textId="3B679A9D" w:rsidR="005973B9" w:rsidRPr="00751EFF" w:rsidRDefault="00D354C7" w:rsidP="00D354C7">
      <w:pPr>
        <w:pStyle w:val="Odsekzoznamu"/>
        <w:numPr>
          <w:ilvl w:val="0"/>
          <w:numId w:val="3"/>
        </w:numPr>
        <w:tabs>
          <w:tab w:val="left" w:pos="384"/>
        </w:tabs>
        <w:spacing w:before="92" w:line="218" w:lineRule="exact"/>
        <w:ind w:hanging="283"/>
      </w:pPr>
      <w:proofErr w:type="spellStart"/>
      <w:r w:rsidRPr="00751EFF">
        <w:rPr>
          <w:sz w:val="18"/>
        </w:rPr>
        <w:t>Trajcikova</w:t>
      </w:r>
      <w:proofErr w:type="spellEnd"/>
      <w:r w:rsidRPr="00751EFF">
        <w:rPr>
          <w:sz w:val="18"/>
        </w:rPr>
        <w:t xml:space="preserve"> E, Kurin E et al </w:t>
      </w:r>
      <w:r w:rsidR="005973B9" w:rsidRPr="00751EFF">
        <w:rPr>
          <w:sz w:val="18"/>
        </w:rPr>
        <w:t>(20</w:t>
      </w:r>
      <w:r w:rsidRPr="00751EFF">
        <w:rPr>
          <w:sz w:val="18"/>
        </w:rPr>
        <w:t>20</w:t>
      </w:r>
      <w:r w:rsidR="005973B9" w:rsidRPr="00751EFF">
        <w:rPr>
          <w:sz w:val="18"/>
        </w:rPr>
        <w:t xml:space="preserve">) </w:t>
      </w:r>
      <w:r w:rsidRPr="00751EFF">
        <w:rPr>
          <w:sz w:val="18"/>
        </w:rPr>
        <w:t xml:space="preserve">Antimicrobial and antioxidant properties of four </w:t>
      </w:r>
      <w:proofErr w:type="spellStart"/>
      <w:r w:rsidRPr="006E07DC">
        <w:rPr>
          <w:i/>
          <w:iCs/>
          <w:sz w:val="18"/>
        </w:rPr>
        <w:t>Lycopus</w:t>
      </w:r>
      <w:proofErr w:type="spellEnd"/>
      <w:r w:rsidRPr="00751EFF">
        <w:rPr>
          <w:sz w:val="18"/>
        </w:rPr>
        <w:t xml:space="preserve"> taxa and an interaction study of their major compounds</w:t>
      </w:r>
      <w:r w:rsidR="005973B9" w:rsidRPr="00751EFF">
        <w:rPr>
          <w:sz w:val="18"/>
        </w:rPr>
        <w:t xml:space="preserve">. </w:t>
      </w:r>
      <w:r w:rsidRPr="00751EFF">
        <w:rPr>
          <w:sz w:val="18"/>
        </w:rPr>
        <w:t>Molecules 25(6):1-18</w:t>
      </w:r>
      <w:r w:rsidR="005973B9" w:rsidRPr="00751EFF">
        <w:t>.</w:t>
      </w:r>
    </w:p>
    <w:p w14:paraId="0DF31AAD" w14:textId="464A5C77" w:rsidR="005973B9" w:rsidRDefault="005973B9" w:rsidP="005973B9">
      <w:pPr>
        <w:pStyle w:val="Zkladntext"/>
        <w:spacing w:before="85" w:line="216" w:lineRule="exact"/>
        <w:ind w:left="383" w:right="138" w:hanging="284"/>
        <w:jc w:val="both"/>
        <w:rPr>
          <w:rFonts w:ascii="Calibri" w:hAnsi="Calibri"/>
        </w:rPr>
      </w:pPr>
      <w:r w:rsidRPr="00751EFF">
        <w:rPr>
          <w:rFonts w:ascii="Calibri" w:hAnsi="Calibri"/>
        </w:rPr>
        <w:t xml:space="preserve">5. </w:t>
      </w:r>
      <w:r w:rsidR="006E07DC" w:rsidRPr="006E07DC">
        <w:rPr>
          <w:rFonts w:ascii="Calibri" w:hAnsi="Calibri"/>
        </w:rPr>
        <w:t>Kurin E</w:t>
      </w:r>
      <w:r w:rsidR="006E07DC">
        <w:rPr>
          <w:rFonts w:ascii="Calibri" w:hAnsi="Calibri"/>
        </w:rPr>
        <w:t>,</w:t>
      </w:r>
      <w:r w:rsidR="006E07DC" w:rsidRPr="006E07DC">
        <w:rPr>
          <w:rFonts w:ascii="Calibri" w:hAnsi="Calibri"/>
        </w:rPr>
        <w:t xml:space="preserve"> </w:t>
      </w:r>
      <w:proofErr w:type="spellStart"/>
      <w:r w:rsidR="006E07DC" w:rsidRPr="006E07DC">
        <w:rPr>
          <w:rFonts w:ascii="Calibri" w:hAnsi="Calibri"/>
        </w:rPr>
        <w:t>Mu</w:t>
      </w:r>
      <w:r w:rsidR="006E07DC">
        <w:rPr>
          <w:rFonts w:ascii="Calibri" w:hAnsi="Calibri"/>
        </w:rPr>
        <w:t>c</w:t>
      </w:r>
      <w:r w:rsidR="006E07DC" w:rsidRPr="006E07DC">
        <w:rPr>
          <w:rFonts w:ascii="Calibri" w:hAnsi="Calibri"/>
        </w:rPr>
        <w:t>aji</w:t>
      </w:r>
      <w:proofErr w:type="spellEnd"/>
      <w:r w:rsidR="006E07DC" w:rsidRPr="006E07DC">
        <w:rPr>
          <w:rFonts w:ascii="Calibri" w:hAnsi="Calibri"/>
        </w:rPr>
        <w:t xml:space="preserve"> P</w:t>
      </w:r>
      <w:r w:rsidR="006E07DC">
        <w:rPr>
          <w:rFonts w:ascii="Calibri" w:hAnsi="Calibri"/>
        </w:rPr>
        <w:t>,</w:t>
      </w:r>
      <w:r w:rsidR="006E07DC" w:rsidRPr="006E07DC">
        <w:rPr>
          <w:rFonts w:ascii="Calibri" w:hAnsi="Calibri"/>
        </w:rPr>
        <w:t xml:space="preserve"> Nagy M.</w:t>
      </w:r>
      <w:r w:rsidR="006E07DC">
        <w:rPr>
          <w:rFonts w:ascii="Calibri" w:hAnsi="Calibri"/>
        </w:rPr>
        <w:t xml:space="preserve"> (2012)</w:t>
      </w:r>
      <w:r w:rsidR="006E07DC" w:rsidRPr="006E07DC">
        <w:rPr>
          <w:rFonts w:ascii="Calibri" w:hAnsi="Calibri"/>
        </w:rPr>
        <w:t xml:space="preserve"> In Vitro Antioxidant Activities of Three Red Wine Polyphenols and Their Mixtures: An Interaction Study. Molecules 17</w:t>
      </w:r>
      <w:r w:rsidR="006E07DC">
        <w:rPr>
          <w:rFonts w:ascii="Calibri" w:hAnsi="Calibri"/>
        </w:rPr>
        <w:t>(12):</w:t>
      </w:r>
      <w:r w:rsidR="006E07DC" w:rsidRPr="006E07DC">
        <w:rPr>
          <w:rFonts w:ascii="Calibri" w:hAnsi="Calibri"/>
        </w:rPr>
        <w:t>14336-14348.</w:t>
      </w:r>
    </w:p>
    <w:p w14:paraId="42531CAA" w14:textId="77777777" w:rsidR="00AE3E37" w:rsidRPr="008756E6" w:rsidRDefault="00AE3E37" w:rsidP="008756E6">
      <w:pPr>
        <w:tabs>
          <w:tab w:val="left" w:pos="384"/>
        </w:tabs>
        <w:ind w:right="117"/>
      </w:pPr>
    </w:p>
    <w:p w14:paraId="097F79FB"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A774BF3" w14:textId="77777777" w:rsidR="00AE3E37" w:rsidRDefault="00AE3E37">
      <w:pPr>
        <w:pStyle w:val="Zkladntext"/>
        <w:rPr>
          <w:rFonts w:ascii="Calibri"/>
          <w:sz w:val="20"/>
        </w:rPr>
      </w:pPr>
    </w:p>
    <w:p w14:paraId="4DA9AB34" w14:textId="30065F6B" w:rsidR="00AE3E37" w:rsidRDefault="00292ED9">
      <w:pPr>
        <w:pStyle w:val="Zkladntext"/>
        <w:spacing w:line="40" w:lineRule="exact"/>
        <w:ind w:left="2202"/>
        <w:rPr>
          <w:rFonts w:ascii="Calibri"/>
          <w:sz w:val="4"/>
        </w:rPr>
      </w:pPr>
      <w:r>
        <w:rPr>
          <w:rFonts w:ascii="Calibri"/>
          <w:noProof/>
          <w:sz w:val="4"/>
        </w:rPr>
        <mc:AlternateContent>
          <mc:Choice Requires="wpg">
            <w:drawing>
              <wp:inline distT="0" distB="0" distL="0" distR="0" wp14:anchorId="128A58B0" wp14:editId="607904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14CF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119C289" w14:textId="55BBC7FA" w:rsidR="00AE3E37" w:rsidRPr="004054C4" w:rsidRDefault="00A52075" w:rsidP="00404E5B">
      <w:pPr>
        <w:spacing w:before="92"/>
        <w:ind w:right="4234"/>
        <w:rPr>
          <w:rFonts w:ascii="Arial"/>
          <w:highlight w:val="yellow"/>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DBD9E6F" wp14:editId="51F54A11">
                <wp:simplePos x="0" y="0"/>
                <wp:positionH relativeFrom="column">
                  <wp:posOffset>5657850</wp:posOffset>
                </wp:positionH>
                <wp:positionV relativeFrom="paragraph">
                  <wp:posOffset>56092</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41B35E" w14:textId="3693F46C" w:rsidR="00A52075" w:rsidRDefault="00070F80" w:rsidP="00070F80">
                            <w:pPr>
                              <w:jc w:val="center"/>
                              <w:rPr>
                                <w:b/>
                                <w:color w:val="0000FF"/>
                                <w:lang w:val="en-IN"/>
                              </w:rPr>
                            </w:pPr>
                            <w:r>
                              <w:rPr>
                                <w:noProof/>
                              </w:rPr>
                              <w:drawing>
                                <wp:inline distT="0" distB="0" distL="0" distR="0" wp14:anchorId="5E52993E" wp14:editId="47A44134">
                                  <wp:extent cx="457200" cy="464648"/>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215" cy="4666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BD9E6F" id="Rounded Rectangle 2" o:spid="_x0000_s1026" style="position:absolute;margin-left:445.5pt;margin-top:4.4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" strokecolor="#9bbb59" strokeweight="2.5pt">
                <v:shadow color="#868686"/>
                <v:textbox>
                  <w:txbxContent>
                    <w:p w14:paraId="3441B35E" w14:textId="3693F46C" w:rsidR="00A52075" w:rsidRDefault="00070F80" w:rsidP="00070F80">
                      <w:pPr>
                        <w:jc w:val="center"/>
                        <w:rPr>
                          <w:b/>
                          <w:color w:val="0000FF"/>
                          <w:lang w:val="en-IN"/>
                        </w:rPr>
                      </w:pPr>
                      <w:r>
                        <w:rPr>
                          <w:noProof/>
                        </w:rPr>
                        <w:drawing>
                          <wp:inline distT="0" distB="0" distL="0" distR="0" wp14:anchorId="5E52993E" wp14:editId="47A44134">
                            <wp:extent cx="457200" cy="464648"/>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215" cy="466696"/>
                                    </a:xfrm>
                                    <a:prstGeom prst="rect">
                                      <a:avLst/>
                                    </a:prstGeom>
                                    <a:noFill/>
                                    <a:ln>
                                      <a:noFill/>
                                    </a:ln>
                                  </pic:spPr>
                                </pic:pic>
                              </a:graphicData>
                            </a:graphic>
                          </wp:inline>
                        </w:drawing>
                      </w:r>
                    </w:p>
                  </w:txbxContent>
                </v:textbox>
              </v:roundrect>
            </w:pict>
          </mc:Fallback>
        </mc:AlternateContent>
      </w:r>
      <w:r w:rsidR="008756E6">
        <w:rPr>
          <w:noProof/>
        </w:rPr>
        <w:t xml:space="preserve">        </w:t>
      </w:r>
      <w:r w:rsidR="00E5608F">
        <w:rPr>
          <w:noProof/>
        </w:rPr>
        <w:drawing>
          <wp:inline distT="0" distB="0" distL="0" distR="0" wp14:anchorId="1FF39A2A" wp14:editId="0D75C42D">
            <wp:extent cx="565484" cy="708415"/>
            <wp:effectExtent l="0" t="0" r="635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620" cy="738652"/>
                    </a:xfrm>
                    <a:prstGeom prst="rect">
                      <a:avLst/>
                    </a:prstGeom>
                    <a:noFill/>
                    <a:ln>
                      <a:noFill/>
                    </a:ln>
                  </pic:spPr>
                </pic:pic>
              </a:graphicData>
            </a:graphic>
          </wp:inline>
        </w:drawing>
      </w:r>
      <w:r w:rsidR="008756E6">
        <w:rPr>
          <w:noProof/>
        </w:rPr>
        <w:t xml:space="preserve">      </w:t>
      </w:r>
      <w:r w:rsidR="00A9710C" w:rsidRPr="00B34530">
        <w:rPr>
          <w:rFonts w:ascii="Arial"/>
          <w:color w:val="BF5A14"/>
        </w:rPr>
        <w:t>Biography</w:t>
      </w:r>
    </w:p>
    <w:p w14:paraId="2BE241BB" w14:textId="14CB5F91" w:rsidR="0061297E" w:rsidRPr="0061297E" w:rsidRDefault="0061297E">
      <w:pPr>
        <w:spacing w:before="41" w:line="154" w:lineRule="exact"/>
        <w:ind w:left="213" w:right="231"/>
        <w:jc w:val="both"/>
        <w:rPr>
          <w:rFonts w:ascii="Arial"/>
          <w:sz w:val="14"/>
        </w:rPr>
      </w:pPr>
      <w:r w:rsidRPr="0061297E">
        <w:rPr>
          <w:rFonts w:ascii="Arial"/>
          <w:sz w:val="14"/>
        </w:rPr>
        <w:t>Elena Kurin</w:t>
      </w:r>
      <w:r w:rsidR="0053276A">
        <w:rPr>
          <w:rFonts w:ascii="Arial"/>
          <w:sz w:val="14"/>
        </w:rPr>
        <w:t xml:space="preserve"> is a scientist and a teacher with</w:t>
      </w:r>
      <w:r w:rsidRPr="0061297E">
        <w:rPr>
          <w:rFonts w:ascii="Arial"/>
          <w:sz w:val="14"/>
        </w:rPr>
        <w:t xml:space="preserve"> strong</w:t>
      </w:r>
      <w:r w:rsidR="0053276A">
        <w:rPr>
          <w:rFonts w:ascii="Arial"/>
          <w:sz w:val="14"/>
        </w:rPr>
        <w:t>, evidence based</w:t>
      </w:r>
      <w:r w:rsidRPr="0061297E">
        <w:rPr>
          <w:rFonts w:ascii="Arial"/>
          <w:sz w:val="14"/>
        </w:rPr>
        <w:t xml:space="preserve"> believe in plant medicine. She is an expert in the study of synergy, which appears to be responsible for the biological effects of many plant substances</w:t>
      </w:r>
      <w:r>
        <w:rPr>
          <w:rFonts w:ascii="Arial"/>
          <w:sz w:val="14"/>
        </w:rPr>
        <w:t xml:space="preserve">, present in nature in complex systems. She enriched </w:t>
      </w:r>
      <w:r w:rsidR="0053276A">
        <w:rPr>
          <w:rFonts w:ascii="Arial"/>
          <w:sz w:val="14"/>
        </w:rPr>
        <w:t>the synergy evaluation about new way of evaluation in linear data space (</w:t>
      </w:r>
      <w:r w:rsidR="0053276A" w:rsidRPr="0053276A">
        <w:rPr>
          <w:rFonts w:ascii="Arial"/>
          <w:sz w:val="14"/>
        </w:rPr>
        <w:t>Novotny B, Nagy M, Kurin E</w:t>
      </w:r>
      <w:r w:rsidR="0053276A">
        <w:rPr>
          <w:rFonts w:ascii="Arial"/>
          <w:sz w:val="14"/>
        </w:rPr>
        <w:t xml:space="preserve">, </w:t>
      </w:r>
      <w:r w:rsidR="0053276A" w:rsidRPr="0053276A">
        <w:rPr>
          <w:rFonts w:ascii="Arial"/>
          <w:sz w:val="14"/>
        </w:rPr>
        <w:t>2021)</w:t>
      </w:r>
      <w:r w:rsidR="0053276A">
        <w:rPr>
          <w:rFonts w:ascii="Arial"/>
          <w:sz w:val="14"/>
        </w:rPr>
        <w:t xml:space="preserve">. This can be used in many mainly chemically based assay, where linear correlation is present, as interaction analysis method. However, among natural </w:t>
      </w:r>
      <w:r w:rsidR="00B34530">
        <w:rPr>
          <w:rFonts w:ascii="Arial"/>
          <w:sz w:val="14"/>
        </w:rPr>
        <w:t>substances</w:t>
      </w:r>
      <w:r w:rsidR="0053276A">
        <w:rPr>
          <w:rFonts w:ascii="Arial"/>
          <w:sz w:val="14"/>
        </w:rPr>
        <w:t xml:space="preserve">, it can help to understand the mutual interactions </w:t>
      </w:r>
      <w:r w:rsidR="00B34530">
        <w:rPr>
          <w:rFonts w:ascii="Arial"/>
          <w:sz w:val="14"/>
        </w:rPr>
        <w:t>of the plant extracts.</w:t>
      </w:r>
    </w:p>
    <w:p w14:paraId="5448B0AC" w14:textId="39D069F5" w:rsidR="00AE3E37" w:rsidRDefault="00E37AA5" w:rsidP="00E37AA5">
      <w:pPr>
        <w:spacing w:before="41" w:line="154" w:lineRule="exact"/>
        <w:ind w:left="213" w:right="231"/>
        <w:jc w:val="center"/>
        <w:rPr>
          <w:rFonts w:ascii="Arial"/>
          <w:sz w:val="14"/>
        </w:rPr>
      </w:pPr>
      <w:r>
        <w:rPr>
          <w:rFonts w:ascii="Arial"/>
          <w:sz w:val="14"/>
        </w:rPr>
        <w:t>Email: elena.kurin@uniba.sk</w:t>
      </w:r>
    </w:p>
    <w:p w14:paraId="5EF42E78" w14:textId="38913729" w:rsidR="00AE3E37" w:rsidRDefault="00292ED9">
      <w:pPr>
        <w:pStyle w:val="Zkladntext"/>
        <w:spacing w:before="2"/>
        <w:rPr>
          <w:rFonts w:ascii="Arial"/>
          <w:sz w:val="19"/>
        </w:rPr>
      </w:pPr>
      <w:r>
        <w:rPr>
          <w:noProof/>
        </w:rPr>
        <mc:AlternateContent>
          <mc:Choice Requires="wps">
            <w:drawing>
              <wp:anchor distT="0" distB="0" distL="0" distR="0" simplePos="0" relativeHeight="1072" behindDoc="0" locked="0" layoutInCell="1" allowOverlap="1" wp14:anchorId="2318A147" wp14:editId="02EFF8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EA47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8A7ADAC" w14:textId="77777777" w:rsidR="00AE3E37" w:rsidRDefault="00AE3E37">
      <w:pPr>
        <w:pStyle w:val="Zkladntext"/>
        <w:rPr>
          <w:rFonts w:ascii="Arial"/>
          <w:sz w:val="20"/>
        </w:rPr>
      </w:pPr>
    </w:p>
    <w:p w14:paraId="33BE97E5" w14:textId="77777777" w:rsidR="00AE3E37" w:rsidRDefault="00AE3E37">
      <w:pPr>
        <w:pStyle w:val="Zkladntext"/>
        <w:rPr>
          <w:rFonts w:ascii="Arial"/>
          <w:sz w:val="20"/>
        </w:rPr>
      </w:pPr>
    </w:p>
    <w:p w14:paraId="31D6020F" w14:textId="77777777" w:rsidR="00AE3E37" w:rsidRDefault="00AE3E37">
      <w:pPr>
        <w:pStyle w:val="Zkladntext"/>
        <w:spacing w:before="7"/>
        <w:rPr>
          <w:rFonts w:ascii="Arial"/>
          <w:sz w:val="29"/>
        </w:rPr>
      </w:pPr>
    </w:p>
    <w:p w14:paraId="2DDCFF03" w14:textId="77777777" w:rsidR="00EA7D51" w:rsidRDefault="00EA7D51" w:rsidP="000534A1">
      <w:pPr>
        <w:spacing w:before="39"/>
        <w:ind w:left="100"/>
        <w:rPr>
          <w:rFonts w:ascii="Minion Pro"/>
          <w:b/>
          <w:sz w:val="20"/>
        </w:rPr>
      </w:pPr>
    </w:p>
    <w:p w14:paraId="122FDCAD" w14:textId="5ED54F5D" w:rsidR="00EA7D51" w:rsidRPr="003B3B8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B0BD7">
        <w:rPr>
          <w:sz w:val="20"/>
          <w:szCs w:val="20"/>
          <w:lang w:val="en-NZ"/>
        </w:rPr>
        <w:t xml:space="preserve">Elena Kurin, </w:t>
      </w:r>
      <w:proofErr w:type="spellStart"/>
      <w:r w:rsidR="007B0BD7">
        <w:rPr>
          <w:sz w:val="20"/>
          <w:szCs w:val="20"/>
          <w:lang w:val="en-NZ"/>
        </w:rPr>
        <w:t>Mgr</w:t>
      </w:r>
      <w:proofErr w:type="spellEnd"/>
      <w:r w:rsidR="007B0BD7">
        <w:rPr>
          <w:sz w:val="20"/>
          <w:szCs w:val="20"/>
          <w:lang w:val="en-NZ"/>
        </w:rPr>
        <w:t xml:space="preserve"> </w:t>
      </w:r>
      <w:proofErr w:type="spellStart"/>
      <w:r w:rsidR="007B0BD7">
        <w:rPr>
          <w:sz w:val="20"/>
          <w:szCs w:val="20"/>
          <w:lang w:val="en-NZ"/>
        </w:rPr>
        <w:t>PharmDr</w:t>
      </w:r>
      <w:proofErr w:type="spellEnd"/>
      <w:r w:rsidR="007B0BD7">
        <w:rPr>
          <w:sz w:val="20"/>
          <w:szCs w:val="20"/>
          <w:lang w:val="en-NZ"/>
        </w:rPr>
        <w:t xml:space="preserve"> PhD</w:t>
      </w:r>
      <w:r w:rsidRPr="00F35A62">
        <w:rPr>
          <w:sz w:val="20"/>
          <w:szCs w:val="20"/>
          <w:lang w:val="en-NZ"/>
        </w:rPr>
        <w:br/>
        <w:t xml:space="preserve">Contact </w:t>
      </w:r>
      <w:r w:rsidRPr="0072458A">
        <w:rPr>
          <w:sz w:val="20"/>
          <w:szCs w:val="20"/>
          <w:lang w:val="en-NZ"/>
        </w:rPr>
        <w:t>number:</w:t>
      </w:r>
      <w:r w:rsidR="007B0BD7" w:rsidRPr="0072458A">
        <w:rPr>
          <w:sz w:val="20"/>
          <w:szCs w:val="20"/>
          <w:lang w:val="en-NZ"/>
        </w:rPr>
        <w:t xml:space="preserve"> +421 2 501 17 206</w:t>
      </w:r>
      <w:r w:rsidRPr="0072458A">
        <w:rPr>
          <w:sz w:val="20"/>
          <w:szCs w:val="20"/>
          <w:lang w:val="en-NZ"/>
        </w:rPr>
        <w:br/>
        <w:t xml:space="preserve">Linked </w:t>
      </w:r>
      <w:r w:rsidRPr="003B3B82">
        <w:rPr>
          <w:sz w:val="20"/>
          <w:szCs w:val="20"/>
          <w:lang w:val="en-NZ"/>
        </w:rPr>
        <w:t>In account:</w:t>
      </w:r>
      <w:r w:rsidR="0072458A" w:rsidRPr="003B3B82">
        <w:t xml:space="preserve"> </w:t>
      </w:r>
      <w:r w:rsidR="0072458A" w:rsidRPr="003B3B82">
        <w:rPr>
          <w:sz w:val="20"/>
          <w:szCs w:val="20"/>
          <w:lang w:val="en-NZ"/>
        </w:rPr>
        <w:t xml:space="preserve">/www.linkedin.com/in/elena-kurin </w:t>
      </w:r>
    </w:p>
    <w:p w14:paraId="5131905E" w14:textId="1DD395DF" w:rsidR="00EA7D51" w:rsidRPr="00F35A62" w:rsidRDefault="00EA7D51" w:rsidP="00EA7D51">
      <w:pPr>
        <w:autoSpaceDE w:val="0"/>
        <w:autoSpaceDN w:val="0"/>
        <w:adjustRightInd w:val="0"/>
        <w:rPr>
          <w:sz w:val="20"/>
          <w:szCs w:val="20"/>
          <w:lang w:val="en-NZ"/>
        </w:rPr>
      </w:pPr>
      <w:r w:rsidRPr="003B3B82">
        <w:rPr>
          <w:sz w:val="20"/>
          <w:szCs w:val="20"/>
          <w:lang w:val="en-NZ"/>
        </w:rPr>
        <w:t xml:space="preserve">Session name/ number: </w:t>
      </w:r>
      <w:r w:rsidR="003B3B82" w:rsidRPr="003B3B82">
        <w:rPr>
          <w:sz w:val="20"/>
          <w:szCs w:val="20"/>
          <w:lang w:val="en-NZ"/>
        </w:rPr>
        <w:t>Plant</w:t>
      </w:r>
      <w:r w:rsidR="003B3B82">
        <w:rPr>
          <w:sz w:val="20"/>
          <w:szCs w:val="20"/>
          <w:lang w:val="en-NZ"/>
        </w:rPr>
        <w:t xml:space="preserve"> Physiology and Biochemistry / 4</w:t>
      </w:r>
      <w:r w:rsidRPr="00F35A62">
        <w:rPr>
          <w:sz w:val="20"/>
          <w:szCs w:val="20"/>
          <w:lang w:val="en-NZ"/>
        </w:rPr>
        <w:br/>
        <w:t>Category: Poster presentation</w:t>
      </w:r>
      <w:r w:rsidRPr="00F35A62">
        <w:rPr>
          <w:sz w:val="20"/>
          <w:szCs w:val="20"/>
          <w:lang w:val="en-NZ"/>
        </w:rPr>
        <w:br/>
      </w:r>
    </w:p>
    <w:p w14:paraId="3E1C572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43F1" w14:textId="77777777" w:rsidR="000A782F" w:rsidRDefault="000A782F">
      <w:r>
        <w:separator/>
      </w:r>
    </w:p>
  </w:endnote>
  <w:endnote w:type="continuationSeparator" w:id="0">
    <w:p w14:paraId="3284D236" w14:textId="77777777" w:rsidR="000A782F" w:rsidRDefault="000A7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F981" w14:textId="77777777" w:rsidR="00AE3E37" w:rsidRDefault="00292ED9">
    <w:pPr>
      <w:pStyle w:val="Zkladntext"/>
      <w:spacing w:line="14" w:lineRule="auto"/>
      <w:rPr>
        <w:sz w:val="20"/>
      </w:rPr>
    </w:pPr>
    <w:r>
      <w:rPr>
        <w:noProof/>
      </w:rPr>
      <mc:AlternateContent>
        <mc:Choice Requires="wps">
          <w:drawing>
            <wp:anchor distT="0" distB="0" distL="114300" distR="114300" simplePos="0" relativeHeight="503311928" behindDoc="1" locked="0" layoutInCell="1" allowOverlap="1" wp14:anchorId="4CA25AFE" wp14:editId="0B89A3D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C803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B0BA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25AF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5C803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B0BA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A5EE8E3" wp14:editId="6619236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BB2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EE8E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4ABB2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ECD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6F350D" wp14:editId="5E5314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231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3A23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F350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55231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3A23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24F52" w14:textId="77777777" w:rsidR="000A782F" w:rsidRDefault="000A782F">
      <w:r>
        <w:separator/>
      </w:r>
    </w:p>
  </w:footnote>
  <w:footnote w:type="continuationSeparator" w:id="0">
    <w:p w14:paraId="306C9871" w14:textId="77777777" w:rsidR="000A782F" w:rsidRDefault="000A7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2AWJDAwMzc0sjSyUdpeDU4uLM/DyQAsNaAENh4o0sAAAA"/>
  </w:docVars>
  <w:rsids>
    <w:rsidRoot w:val="00AE3E37"/>
    <w:rsid w:val="000453E8"/>
    <w:rsid w:val="000534A1"/>
    <w:rsid w:val="0006797A"/>
    <w:rsid w:val="00070F80"/>
    <w:rsid w:val="0008264A"/>
    <w:rsid w:val="000A782F"/>
    <w:rsid w:val="000B4CAA"/>
    <w:rsid w:val="000D2236"/>
    <w:rsid w:val="000E2911"/>
    <w:rsid w:val="000E2AFD"/>
    <w:rsid w:val="001263DF"/>
    <w:rsid w:val="001B4D92"/>
    <w:rsid w:val="00230032"/>
    <w:rsid w:val="00274A83"/>
    <w:rsid w:val="00292ED9"/>
    <w:rsid w:val="002B3317"/>
    <w:rsid w:val="003106DF"/>
    <w:rsid w:val="00314259"/>
    <w:rsid w:val="00314A72"/>
    <w:rsid w:val="00346FC9"/>
    <w:rsid w:val="00351D9B"/>
    <w:rsid w:val="00380299"/>
    <w:rsid w:val="003B3B82"/>
    <w:rsid w:val="003F6AA6"/>
    <w:rsid w:val="00404E5B"/>
    <w:rsid w:val="004054C4"/>
    <w:rsid w:val="00414F7B"/>
    <w:rsid w:val="004355DC"/>
    <w:rsid w:val="004518F3"/>
    <w:rsid w:val="0045512B"/>
    <w:rsid w:val="004704A6"/>
    <w:rsid w:val="004749B4"/>
    <w:rsid w:val="00475D20"/>
    <w:rsid w:val="00494130"/>
    <w:rsid w:val="00496485"/>
    <w:rsid w:val="004F3523"/>
    <w:rsid w:val="0053276A"/>
    <w:rsid w:val="0054037E"/>
    <w:rsid w:val="00581CE1"/>
    <w:rsid w:val="00590D60"/>
    <w:rsid w:val="005973B9"/>
    <w:rsid w:val="005A128D"/>
    <w:rsid w:val="005B3A56"/>
    <w:rsid w:val="005C2B21"/>
    <w:rsid w:val="005F1690"/>
    <w:rsid w:val="006060CE"/>
    <w:rsid w:val="0061297E"/>
    <w:rsid w:val="0061505C"/>
    <w:rsid w:val="0063497F"/>
    <w:rsid w:val="0065710C"/>
    <w:rsid w:val="00693560"/>
    <w:rsid w:val="006E07DC"/>
    <w:rsid w:val="00714354"/>
    <w:rsid w:val="0072458A"/>
    <w:rsid w:val="00751EFF"/>
    <w:rsid w:val="007B0BD7"/>
    <w:rsid w:val="007E2409"/>
    <w:rsid w:val="00844BE9"/>
    <w:rsid w:val="00873DF0"/>
    <w:rsid w:val="008756E6"/>
    <w:rsid w:val="00897EC5"/>
    <w:rsid w:val="008A0763"/>
    <w:rsid w:val="008B3CE7"/>
    <w:rsid w:val="008E4BDD"/>
    <w:rsid w:val="008E5477"/>
    <w:rsid w:val="00936BE5"/>
    <w:rsid w:val="00986AE8"/>
    <w:rsid w:val="009B2D44"/>
    <w:rsid w:val="009D3B34"/>
    <w:rsid w:val="009F392C"/>
    <w:rsid w:val="00A05595"/>
    <w:rsid w:val="00A07E82"/>
    <w:rsid w:val="00A3255C"/>
    <w:rsid w:val="00A42D95"/>
    <w:rsid w:val="00A43788"/>
    <w:rsid w:val="00A52075"/>
    <w:rsid w:val="00A9710C"/>
    <w:rsid w:val="00AD04EB"/>
    <w:rsid w:val="00AE3E37"/>
    <w:rsid w:val="00B21A57"/>
    <w:rsid w:val="00B34530"/>
    <w:rsid w:val="00B42EA2"/>
    <w:rsid w:val="00BE6743"/>
    <w:rsid w:val="00BF27FB"/>
    <w:rsid w:val="00C33602"/>
    <w:rsid w:val="00C56C74"/>
    <w:rsid w:val="00C948E4"/>
    <w:rsid w:val="00CC0DAA"/>
    <w:rsid w:val="00CD6F55"/>
    <w:rsid w:val="00D354C7"/>
    <w:rsid w:val="00D64F5C"/>
    <w:rsid w:val="00DE3104"/>
    <w:rsid w:val="00DE6170"/>
    <w:rsid w:val="00DF22D8"/>
    <w:rsid w:val="00DF47DA"/>
    <w:rsid w:val="00E30AAC"/>
    <w:rsid w:val="00E37AA5"/>
    <w:rsid w:val="00E47B11"/>
    <w:rsid w:val="00E5608F"/>
    <w:rsid w:val="00E6082C"/>
    <w:rsid w:val="00E74177"/>
    <w:rsid w:val="00E76682"/>
    <w:rsid w:val="00E95D97"/>
    <w:rsid w:val="00EA7D51"/>
    <w:rsid w:val="00F00C96"/>
    <w:rsid w:val="00F046EA"/>
    <w:rsid w:val="00F153B7"/>
    <w:rsid w:val="00F312EA"/>
    <w:rsid w:val="00F33005"/>
    <w:rsid w:val="00F35A62"/>
    <w:rsid w:val="00F72EEA"/>
    <w:rsid w:val="00F84CAE"/>
    <w:rsid w:val="00FA41DE"/>
    <w:rsid w:val="00FF7B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192B9"/>
  <w15:docId w15:val="{001D631F-0A44-4D47-A722-DA3D91EF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link w:val="Nadpis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 w:type="character" w:customStyle="1" w:styleId="Nadpis1Char">
    <w:name w:val="Nadpis 1 Char"/>
    <w:basedOn w:val="Predvolenpsmoodseku"/>
    <w:link w:val="Nadpis1"/>
    <w:uiPriority w:val="1"/>
    <w:rsid w:val="00E76682"/>
    <w:rPr>
      <w:rFonts w:ascii="Minion Pro" w:eastAsia="Minion Pro" w:hAnsi="Minion Pro" w:cs="Minion Pro"/>
      <w:b/>
      <w:bCs/>
      <w:sz w:val="36"/>
      <w:szCs w:val="36"/>
    </w:rPr>
  </w:style>
  <w:style w:type="character" w:styleId="Odkaznakomentr">
    <w:name w:val="annotation reference"/>
    <w:basedOn w:val="Predvolenpsmoodseku"/>
    <w:uiPriority w:val="99"/>
    <w:semiHidden/>
    <w:unhideWhenUsed/>
    <w:rsid w:val="00E74177"/>
    <w:rPr>
      <w:sz w:val="16"/>
      <w:szCs w:val="16"/>
    </w:rPr>
  </w:style>
  <w:style w:type="paragraph" w:styleId="Textkomentra">
    <w:name w:val="annotation text"/>
    <w:basedOn w:val="Normlny"/>
    <w:link w:val="TextkomentraChar"/>
    <w:uiPriority w:val="99"/>
    <w:semiHidden/>
    <w:unhideWhenUsed/>
    <w:rsid w:val="00E74177"/>
    <w:rPr>
      <w:sz w:val="20"/>
      <w:szCs w:val="20"/>
    </w:rPr>
  </w:style>
  <w:style w:type="character" w:customStyle="1" w:styleId="TextkomentraChar">
    <w:name w:val="Text komentára Char"/>
    <w:basedOn w:val="Predvolenpsmoodseku"/>
    <w:link w:val="Textkomentra"/>
    <w:uiPriority w:val="99"/>
    <w:semiHidden/>
    <w:rsid w:val="00E74177"/>
    <w:rPr>
      <w:rFonts w:ascii="Tw Cen MT" w:eastAsia="Tw Cen MT" w:hAnsi="Tw Cen MT" w:cs="Tw Cen MT"/>
      <w:sz w:val="20"/>
      <w:szCs w:val="20"/>
    </w:rPr>
  </w:style>
  <w:style w:type="paragraph" w:styleId="Predmetkomentra">
    <w:name w:val="annotation subject"/>
    <w:basedOn w:val="Textkomentra"/>
    <w:next w:val="Textkomentra"/>
    <w:link w:val="PredmetkomentraChar"/>
    <w:uiPriority w:val="99"/>
    <w:semiHidden/>
    <w:unhideWhenUsed/>
    <w:rsid w:val="00E74177"/>
    <w:rPr>
      <w:b/>
      <w:bCs/>
    </w:rPr>
  </w:style>
  <w:style w:type="character" w:customStyle="1" w:styleId="PredmetkomentraChar">
    <w:name w:val="Predmet komentára Char"/>
    <w:basedOn w:val="TextkomentraChar"/>
    <w:link w:val="Predmetkomentra"/>
    <w:uiPriority w:val="99"/>
    <w:semiHidden/>
    <w:rsid w:val="00E74177"/>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673</Words>
  <Characters>3841</Characters>
  <Application>Microsoft Office Word</Application>
  <DocSecurity>0</DocSecurity>
  <Lines>32</Lines>
  <Paragraphs>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Kurin Elena</cp:lastModifiedBy>
  <cp:revision>17</cp:revision>
  <dcterms:created xsi:type="dcterms:W3CDTF">2023-01-25T15:49:00Z</dcterms:created>
  <dcterms:modified xsi:type="dcterms:W3CDTF">2023-01-27T08:36:00Z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92401816cb820601ddb0783cd20184ecc4ab7f084964df3c071ba16c70083857</vt:lpwstr>
  </property>
</Properties>
</file>