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"/>
        <w:rPr>
          <w:rFonts w:ascii="Times New Roman"/>
          <w:sz w:val="21"/>
        </w:rPr>
      </w:pPr>
    </w:p>
    <w:p>
      <w:pPr>
        <w:pStyle w:val="BodyText"/>
        <w:spacing w:line="364" w:lineRule="auto" w:before="92"/>
        <w:ind w:left="100" w:right="593"/>
      </w:pPr>
      <w:r>
        <w:rPr>
          <w:rFonts w:ascii="Arial"/>
          <w:b/>
        </w:rPr>
        <w:t>Title: </w:t>
      </w:r>
      <w:r>
        <w:rPr/>
        <w:t>Emergence of seizures despite presymptomatic treatment in a sibship with</w:t>
      </w:r>
      <w:r>
        <w:rPr>
          <w:spacing w:val="-64"/>
        </w:rPr>
        <w:t> </w:t>
      </w:r>
      <w:r>
        <w:rPr/>
        <w:t>Biotinidase</w:t>
      </w:r>
      <w:r>
        <w:rPr>
          <w:spacing w:val="-4"/>
        </w:rPr>
        <w:t> </w:t>
      </w:r>
      <w:r>
        <w:rPr/>
        <w:t>deficiency</w:t>
      </w:r>
    </w:p>
    <w:p>
      <w:pPr>
        <w:spacing w:before="193"/>
        <w:ind w:left="100" w:right="0" w:firstLine="0"/>
        <w:jc w:val="left"/>
        <w:rPr>
          <w:rFonts w:ascii="Arial"/>
          <w:b/>
          <w:sz w:val="12"/>
        </w:rPr>
      </w:pPr>
      <w:r>
        <w:rPr>
          <w:spacing w:val="-1"/>
          <w:sz w:val="22"/>
          <w:u w:val="single"/>
        </w:rPr>
        <w:t>Olla</w:t>
      </w:r>
      <w:r>
        <w:rPr>
          <w:spacing w:val="2"/>
          <w:sz w:val="22"/>
          <w:u w:val="single"/>
        </w:rPr>
        <w:t> </w:t>
      </w:r>
      <w:r>
        <w:rPr>
          <w:spacing w:val="-1"/>
          <w:sz w:val="22"/>
          <w:u w:val="single"/>
        </w:rPr>
        <w:t>Amer </w:t>
      </w:r>
      <w:r>
        <w:rPr>
          <w:sz w:val="22"/>
          <w:u w:val="single"/>
        </w:rPr>
        <w:t>Alkhoja</w:t>
      </w:r>
      <w:r>
        <w:rPr>
          <w:rFonts w:ascii="Arial"/>
          <w:b/>
          <w:position w:val="6"/>
          <w:sz w:val="12"/>
        </w:rPr>
        <w:t>1,</w:t>
      </w:r>
      <w:r>
        <w:rPr>
          <w:rFonts w:ascii="Arial"/>
          <w:b/>
          <w:spacing w:val="-9"/>
          <w:position w:val="6"/>
          <w:sz w:val="12"/>
        </w:rPr>
        <w:t> </w:t>
      </w:r>
      <w:hyperlink r:id="rId5">
        <w:r>
          <w:rPr>
            <w:sz w:val="22"/>
            <w:u w:val="single"/>
          </w:rPr>
          <w:t>Waseem Mahmoud</w:t>
        </w:r>
        <w:r>
          <w:rPr>
            <w:spacing w:val="2"/>
            <w:sz w:val="22"/>
            <w:u w:val="single"/>
          </w:rPr>
          <w:t> </w:t>
        </w:r>
        <w:r>
          <w:rPr>
            <w:sz w:val="22"/>
            <w:u w:val="single"/>
          </w:rPr>
          <w:t>Fathalla</w:t>
        </w:r>
      </w:hyperlink>
      <w:r>
        <w:rPr>
          <w:rFonts w:ascii="Arial"/>
          <w:b/>
          <w:position w:val="6"/>
          <w:sz w:val="12"/>
        </w:rPr>
        <w:t>2</w:t>
      </w:r>
    </w:p>
    <w:p>
      <w:pPr>
        <w:pStyle w:val="BodyText"/>
        <w:spacing w:before="7"/>
        <w:rPr>
          <w:rFonts w:ascii="Arial"/>
          <w:b/>
          <w:sz w:val="11"/>
        </w:rPr>
      </w:pPr>
    </w:p>
    <w:p>
      <w:pPr>
        <w:spacing w:before="112"/>
        <w:ind w:left="148" w:right="0" w:firstLine="0"/>
        <w:jc w:val="left"/>
        <w:rPr>
          <w:sz w:val="17"/>
        </w:rPr>
      </w:pPr>
      <w:r>
        <w:rPr>
          <w:rFonts w:ascii="Arial"/>
          <w:b/>
          <w:sz w:val="17"/>
          <w:vertAlign w:val="superscript"/>
        </w:rPr>
        <w:t>1</w:t>
      </w:r>
      <w:r>
        <w:rPr>
          <w:rFonts w:ascii="Arial"/>
          <w:b/>
          <w:spacing w:val="-4"/>
          <w:sz w:val="17"/>
          <w:vertAlign w:val="baseline"/>
        </w:rPr>
        <w:t> </w:t>
      </w:r>
      <w:r>
        <w:rPr>
          <w:sz w:val="17"/>
          <w:vertAlign w:val="baseline"/>
        </w:rPr>
        <w:t>Department</w:t>
      </w:r>
      <w:r>
        <w:rPr>
          <w:spacing w:val="2"/>
          <w:sz w:val="17"/>
          <w:vertAlign w:val="baseline"/>
        </w:rPr>
        <w:t> </w:t>
      </w:r>
      <w:r>
        <w:rPr>
          <w:sz w:val="17"/>
          <w:vertAlign w:val="baseline"/>
        </w:rPr>
        <w:t>of</w:t>
      </w:r>
      <w:r>
        <w:rPr>
          <w:spacing w:val="-3"/>
          <w:sz w:val="17"/>
          <w:vertAlign w:val="baseline"/>
        </w:rPr>
        <w:t> </w:t>
      </w:r>
      <w:r>
        <w:rPr>
          <w:sz w:val="17"/>
          <w:vertAlign w:val="baseline"/>
        </w:rPr>
        <w:t>Pediatrics,</w:t>
      </w:r>
      <w:r>
        <w:rPr>
          <w:spacing w:val="-3"/>
          <w:sz w:val="17"/>
          <w:vertAlign w:val="baseline"/>
        </w:rPr>
        <w:t> </w:t>
      </w:r>
      <w:r>
        <w:rPr>
          <w:sz w:val="17"/>
          <w:vertAlign w:val="baseline"/>
        </w:rPr>
        <w:t>sheikh</w:t>
      </w:r>
      <w:r>
        <w:rPr>
          <w:spacing w:val="-6"/>
          <w:sz w:val="17"/>
          <w:vertAlign w:val="baseline"/>
        </w:rPr>
        <w:t> </w:t>
      </w:r>
      <w:r>
        <w:rPr>
          <w:sz w:val="17"/>
          <w:vertAlign w:val="baseline"/>
        </w:rPr>
        <w:t>shakhbout</w:t>
      </w:r>
      <w:r>
        <w:rPr>
          <w:spacing w:val="-4"/>
          <w:sz w:val="17"/>
          <w:vertAlign w:val="baseline"/>
        </w:rPr>
        <w:t> </w:t>
      </w:r>
      <w:r>
        <w:rPr>
          <w:sz w:val="17"/>
          <w:vertAlign w:val="baseline"/>
        </w:rPr>
        <w:t>medical</w:t>
      </w:r>
      <w:r>
        <w:rPr>
          <w:spacing w:val="-7"/>
          <w:sz w:val="17"/>
          <w:vertAlign w:val="baseline"/>
        </w:rPr>
        <w:t> </w:t>
      </w:r>
      <w:r>
        <w:rPr>
          <w:sz w:val="17"/>
          <w:vertAlign w:val="baseline"/>
        </w:rPr>
        <w:t>city</w:t>
      </w:r>
      <w:r>
        <w:rPr>
          <w:spacing w:val="-6"/>
          <w:sz w:val="17"/>
          <w:vertAlign w:val="baseline"/>
        </w:rPr>
        <w:t> </w:t>
      </w:r>
      <w:r>
        <w:rPr>
          <w:sz w:val="17"/>
          <w:vertAlign w:val="baseline"/>
        </w:rPr>
        <w:t>,</w:t>
      </w:r>
      <w:r>
        <w:rPr>
          <w:spacing w:val="1"/>
          <w:sz w:val="17"/>
          <w:vertAlign w:val="baseline"/>
        </w:rPr>
        <w:t> </w:t>
      </w:r>
      <w:r>
        <w:rPr>
          <w:sz w:val="17"/>
          <w:vertAlign w:val="baseline"/>
        </w:rPr>
        <w:t>Abu</w:t>
      </w:r>
      <w:r>
        <w:rPr>
          <w:spacing w:val="-1"/>
          <w:sz w:val="17"/>
          <w:vertAlign w:val="baseline"/>
        </w:rPr>
        <w:t> </w:t>
      </w:r>
      <w:r>
        <w:rPr>
          <w:sz w:val="17"/>
          <w:vertAlign w:val="baseline"/>
        </w:rPr>
        <w:t>Dhabi</w:t>
      </w:r>
      <w:r>
        <w:rPr>
          <w:spacing w:val="-8"/>
          <w:sz w:val="17"/>
          <w:vertAlign w:val="baseline"/>
        </w:rPr>
        <w:t> </w:t>
      </w:r>
      <w:r>
        <w:rPr>
          <w:sz w:val="17"/>
          <w:vertAlign w:val="baseline"/>
        </w:rPr>
        <w:t>,</w:t>
      </w:r>
      <w:r>
        <w:rPr>
          <w:spacing w:val="2"/>
          <w:sz w:val="17"/>
          <w:vertAlign w:val="baseline"/>
        </w:rPr>
        <w:t> </w:t>
      </w:r>
      <w:r>
        <w:rPr>
          <w:sz w:val="17"/>
          <w:vertAlign w:val="baseline"/>
        </w:rPr>
        <w:t>united</w:t>
      </w:r>
      <w:r>
        <w:rPr>
          <w:spacing w:val="5"/>
          <w:sz w:val="17"/>
          <w:vertAlign w:val="baseline"/>
        </w:rPr>
        <w:t> </w:t>
      </w:r>
      <w:r>
        <w:rPr>
          <w:sz w:val="17"/>
          <w:vertAlign w:val="baseline"/>
        </w:rPr>
        <w:t>Arab</w:t>
      </w:r>
      <w:r>
        <w:rPr>
          <w:spacing w:val="-2"/>
          <w:sz w:val="17"/>
          <w:vertAlign w:val="baseline"/>
        </w:rPr>
        <w:t> </w:t>
      </w:r>
      <w:r>
        <w:rPr>
          <w:sz w:val="17"/>
          <w:vertAlign w:val="baseline"/>
        </w:rPr>
        <w:t>emirates</w:t>
      </w:r>
    </w:p>
    <w:p>
      <w:pPr>
        <w:spacing w:before="92"/>
        <w:ind w:left="100" w:right="0" w:firstLine="0"/>
        <w:jc w:val="left"/>
        <w:rPr>
          <w:sz w:val="17"/>
        </w:rPr>
      </w:pPr>
      <w:r>
        <w:rPr>
          <w:rFonts w:ascii="Arial"/>
          <w:b/>
          <w:sz w:val="17"/>
          <w:vertAlign w:val="superscript"/>
        </w:rPr>
        <w:t>2</w:t>
      </w:r>
      <w:r>
        <w:rPr>
          <w:rFonts w:ascii="Arial"/>
          <w:b/>
          <w:spacing w:val="1"/>
          <w:sz w:val="17"/>
          <w:vertAlign w:val="baseline"/>
        </w:rPr>
        <w:t> </w:t>
      </w:r>
      <w:r>
        <w:rPr>
          <w:sz w:val="17"/>
          <w:vertAlign w:val="baseline"/>
        </w:rPr>
        <w:t>Department of Pediatrics, Division of Pediatrics Neurology, sheikh shakhbout medical city , Abu Dhabi , united Arab</w:t>
      </w:r>
      <w:r>
        <w:rPr>
          <w:spacing w:val="-45"/>
          <w:sz w:val="17"/>
          <w:vertAlign w:val="baseline"/>
        </w:rPr>
        <w:t> </w:t>
      </w:r>
      <w:r>
        <w:rPr>
          <w:sz w:val="17"/>
          <w:vertAlign w:val="baseline"/>
        </w:rPr>
        <w:t>emirates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19"/>
        </w:rPr>
      </w:pPr>
    </w:p>
    <w:p>
      <w:pPr>
        <w:pStyle w:val="Heading1"/>
        <w:ind w:left="100" w:firstLine="0"/>
      </w:pPr>
      <w:r>
        <w:rPr/>
        <w:t>Abstract</w:t>
      </w:r>
      <w:r>
        <w:rPr>
          <w:spacing w:val="-5"/>
        </w:rPr>
        <w:t> </w:t>
      </w:r>
      <w:r>
        <w:rPr/>
        <w:t>Text:</w:t>
      </w:r>
    </w:p>
    <w:p>
      <w:pPr>
        <w:pStyle w:val="BodyText"/>
        <w:rPr>
          <w:rFonts w:ascii="Arial"/>
          <w:b/>
          <w:sz w:val="29"/>
        </w:rPr>
      </w:pP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1" w:right="0" w:hanging="361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Introduction</w:t>
      </w:r>
      <w:r>
        <w:rPr>
          <w:rFonts w:ascii="Arial"/>
          <w:b/>
          <w:spacing w:val="-7"/>
          <w:sz w:val="24"/>
        </w:rPr>
        <w:t> </w:t>
      </w:r>
      <w:r>
        <w:rPr>
          <w:rFonts w:ascii="Arial"/>
          <w:b/>
          <w:sz w:val="24"/>
        </w:rPr>
        <w:t>or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background:</w:t>
      </w:r>
    </w:p>
    <w:p>
      <w:pPr>
        <w:pStyle w:val="BodyText"/>
        <w:spacing w:line="360" w:lineRule="auto" w:before="147"/>
        <w:ind w:left="821" w:right="498"/>
      </w:pPr>
      <w:r>
        <w:rPr/>
        <w:t>Biotinidase Deficiency is an autosomal recessive metabolic disorder that is</w:t>
      </w:r>
      <w:r>
        <w:rPr>
          <w:spacing w:val="-64"/>
        </w:rPr>
        <w:t> </w:t>
      </w:r>
      <w:r>
        <w:rPr/>
        <w:t>readily responsive to early presymptomatic treatment with standard dose</w:t>
      </w:r>
      <w:r>
        <w:rPr>
          <w:spacing w:val="1"/>
        </w:rPr>
        <w:t> </w:t>
      </w:r>
      <w:r>
        <w:rPr/>
        <w:t>Biotin.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362" w:lineRule="auto" w:before="0" w:after="0"/>
        <w:ind w:left="821" w:right="759" w:hanging="361"/>
        <w:jc w:val="both"/>
        <w:rPr>
          <w:sz w:val="24"/>
        </w:rPr>
      </w:pPr>
      <w:r>
        <w:rPr>
          <w:rFonts w:ascii="Arial"/>
          <w:b/>
          <w:sz w:val="24"/>
        </w:rPr>
        <w:t>Objectives: </w:t>
      </w:r>
      <w:r>
        <w:rPr>
          <w:sz w:val="24"/>
        </w:rPr>
        <w:t>To report on 2 sibships who were appropriately treated pre-</w:t>
      </w:r>
      <w:r>
        <w:rPr>
          <w:spacing w:val="-64"/>
          <w:sz w:val="24"/>
        </w:rPr>
        <w:t> </w:t>
      </w:r>
      <w:r>
        <w:rPr>
          <w:sz w:val="24"/>
        </w:rPr>
        <w:t>symptomatically but had emergence of seizures that were responsive to</w:t>
      </w:r>
      <w:r>
        <w:rPr>
          <w:spacing w:val="-64"/>
          <w:sz w:val="24"/>
        </w:rPr>
        <w:t> </w:t>
      </w:r>
      <w:r>
        <w:rPr>
          <w:sz w:val="24"/>
        </w:rPr>
        <w:t>conventional</w:t>
      </w:r>
      <w:r>
        <w:rPr>
          <w:spacing w:val="-2"/>
          <w:sz w:val="24"/>
        </w:rPr>
        <w:t> </w:t>
      </w:r>
      <w:r>
        <w:rPr>
          <w:sz w:val="24"/>
        </w:rPr>
        <w:t>anti-seizure drug therapy.</w:t>
      </w:r>
    </w:p>
    <w:p>
      <w:pPr>
        <w:pStyle w:val="BodyText"/>
        <w:spacing w:before="4"/>
        <w:rPr>
          <w:sz w:val="35"/>
        </w:rPr>
      </w:pPr>
    </w:p>
    <w:p>
      <w:pPr>
        <w:pStyle w:val="Heading1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1" w:right="0" w:hanging="361"/>
        <w:jc w:val="left"/>
      </w:pPr>
      <w:r>
        <w:rPr/>
        <w:t>Clinical</w:t>
      </w:r>
      <w:r>
        <w:rPr>
          <w:spacing w:val="-1"/>
        </w:rPr>
        <w:t> </w:t>
      </w:r>
      <w:r>
        <w:rPr/>
        <w:t>Case:</w:t>
      </w:r>
    </w:p>
    <w:p>
      <w:pPr>
        <w:pStyle w:val="BodyText"/>
        <w:spacing w:line="360" w:lineRule="auto" w:before="146"/>
        <w:ind w:left="821" w:right="110"/>
        <w:jc w:val="both"/>
      </w:pPr>
      <w:r>
        <w:rPr/>
        <w:t>We report an interesting</w:t>
      </w:r>
      <w:r>
        <w:rPr>
          <w:spacing w:val="1"/>
        </w:rPr>
        <w:t> </w:t>
      </w:r>
      <w:r>
        <w:rPr/>
        <w:t>case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 7-week</w:t>
      </w:r>
      <w:r>
        <w:rPr>
          <w:spacing w:val="1"/>
        </w:rPr>
        <w:t> </w:t>
      </w:r>
      <w:r>
        <w:rPr/>
        <w:t>old female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biochemically</w:t>
      </w:r>
      <w:r>
        <w:rPr>
          <w:spacing w:val="1"/>
        </w:rPr>
        <w:t> </w:t>
      </w:r>
      <w:r>
        <w:rPr>
          <w:spacing w:val="-1"/>
        </w:rPr>
        <w:t>confirmed</w:t>
      </w:r>
      <w:r>
        <w:rPr>
          <w:spacing w:val="-14"/>
        </w:rPr>
        <w:t> </w:t>
      </w:r>
      <w:r>
        <w:rPr>
          <w:spacing w:val="-1"/>
        </w:rPr>
        <w:t>Biotinidase</w:t>
      </w:r>
      <w:r>
        <w:rPr>
          <w:spacing w:val="-15"/>
        </w:rPr>
        <w:t> </w:t>
      </w:r>
      <w:r>
        <w:rPr>
          <w:spacing w:val="-1"/>
        </w:rPr>
        <w:t>deficiency</w:t>
      </w:r>
      <w:r>
        <w:rPr>
          <w:spacing w:val="-18"/>
        </w:rPr>
        <w:t> </w:t>
      </w:r>
      <w:r>
        <w:rPr/>
        <w:t>that</w:t>
      </w:r>
      <w:r>
        <w:rPr>
          <w:spacing w:val="-14"/>
        </w:rPr>
        <w:t> </w:t>
      </w:r>
      <w:r>
        <w:rPr/>
        <w:t>was</w:t>
      </w:r>
      <w:r>
        <w:rPr>
          <w:spacing w:val="-13"/>
        </w:rPr>
        <w:t> </w:t>
      </w:r>
      <w:r>
        <w:rPr/>
        <w:t>detected</w:t>
      </w:r>
      <w:r>
        <w:rPr>
          <w:spacing w:val="-14"/>
        </w:rPr>
        <w:t> </w:t>
      </w:r>
      <w:r>
        <w:rPr/>
        <w:t>on</w:t>
      </w:r>
      <w:r>
        <w:rPr>
          <w:spacing w:val="-17"/>
        </w:rPr>
        <w:t> </w:t>
      </w:r>
      <w:r>
        <w:rPr/>
        <w:t>newborn</w:t>
      </w:r>
      <w:r>
        <w:rPr>
          <w:spacing w:val="-14"/>
        </w:rPr>
        <w:t> </w:t>
      </w:r>
      <w:r>
        <w:rPr/>
        <w:t>screening.</w:t>
      </w:r>
      <w:r>
        <w:rPr>
          <w:spacing w:val="35"/>
        </w:rPr>
        <w:t> </w:t>
      </w:r>
      <w:r>
        <w:rPr/>
        <w:t>This</w:t>
      </w:r>
      <w:r>
        <w:rPr>
          <w:spacing w:val="-65"/>
        </w:rPr>
        <w:t> </w:t>
      </w:r>
      <w:r>
        <w:rPr/>
        <w:t>newborn was started on Biotin from day 1 of life based on a family history of a</w:t>
      </w:r>
      <w:r>
        <w:rPr>
          <w:spacing w:val="1"/>
        </w:rPr>
        <w:t> </w:t>
      </w:r>
      <w:r>
        <w:rPr/>
        <w:t>confirmed</w:t>
      </w:r>
      <w:r>
        <w:rPr>
          <w:spacing w:val="-8"/>
        </w:rPr>
        <w:t> </w:t>
      </w:r>
      <w:r>
        <w:rPr/>
        <w:t>proband.</w:t>
      </w:r>
      <w:r>
        <w:rPr>
          <w:spacing w:val="-7"/>
        </w:rPr>
        <w:t> </w:t>
      </w:r>
      <w:r>
        <w:rPr/>
        <w:t>Despite</w:t>
      </w:r>
      <w:r>
        <w:rPr>
          <w:spacing w:val="-7"/>
        </w:rPr>
        <w:t> </w:t>
      </w:r>
      <w:r>
        <w:rPr/>
        <w:t>compliance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standard</w:t>
      </w:r>
      <w:r>
        <w:rPr>
          <w:spacing w:val="-7"/>
        </w:rPr>
        <w:t> </w:t>
      </w:r>
      <w:r>
        <w:rPr/>
        <w:t>Biotin</w:t>
      </w:r>
      <w:r>
        <w:rPr>
          <w:spacing w:val="-7"/>
        </w:rPr>
        <w:t> </w:t>
      </w:r>
      <w:r>
        <w:rPr/>
        <w:t>daily</w:t>
      </w:r>
      <w:r>
        <w:rPr>
          <w:spacing w:val="-8"/>
        </w:rPr>
        <w:t> </w:t>
      </w:r>
      <w:r>
        <w:rPr/>
        <w:t>therapy,</w:t>
      </w:r>
      <w:r>
        <w:rPr>
          <w:spacing w:val="-7"/>
        </w:rPr>
        <w:t> </w:t>
      </w:r>
      <w:r>
        <w:rPr/>
        <w:t>she</w:t>
      </w:r>
      <w:r>
        <w:rPr>
          <w:spacing w:val="-65"/>
        </w:rPr>
        <w:t> </w:t>
      </w:r>
      <w:r>
        <w:rPr/>
        <w:t>developed seizures that were initially managed by doubling then tripling the</w:t>
      </w:r>
      <w:r>
        <w:rPr>
          <w:spacing w:val="1"/>
        </w:rPr>
        <w:t> </w:t>
      </w:r>
      <w:r>
        <w:rPr/>
        <w:t>dose</w:t>
      </w:r>
      <w:r>
        <w:rPr>
          <w:spacing w:val="-6"/>
        </w:rPr>
        <w:t> </w:t>
      </w:r>
      <w:r>
        <w:rPr/>
        <w:t>of</w:t>
      </w:r>
      <w:r>
        <w:rPr>
          <w:spacing w:val="-11"/>
        </w:rPr>
        <w:t> </w:t>
      </w:r>
      <w:r>
        <w:rPr/>
        <w:t>biotin,</w:t>
      </w:r>
      <w:r>
        <w:rPr>
          <w:spacing w:val="-6"/>
        </w:rPr>
        <w:t> </w:t>
      </w:r>
      <w:r>
        <w:rPr/>
        <w:t>despite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fact</w:t>
      </w:r>
      <w:r>
        <w:rPr>
          <w:spacing w:val="-11"/>
        </w:rPr>
        <w:t> </w:t>
      </w:r>
      <w:r>
        <w:rPr/>
        <w:t>that</w:t>
      </w:r>
      <w:r>
        <w:rPr>
          <w:spacing w:val="-11"/>
        </w:rPr>
        <w:t> </w:t>
      </w:r>
      <w:r>
        <w:rPr/>
        <w:t>standard</w:t>
      </w:r>
      <w:r>
        <w:rPr>
          <w:spacing w:val="-11"/>
        </w:rPr>
        <w:t> </w:t>
      </w:r>
      <w:r>
        <w:rPr/>
        <w:t>dose</w:t>
      </w:r>
      <w:r>
        <w:rPr>
          <w:spacing w:val="-5"/>
        </w:rPr>
        <w:t> </w:t>
      </w:r>
      <w:r>
        <w:rPr/>
        <w:t>of</w:t>
      </w:r>
      <w:r>
        <w:rPr>
          <w:spacing w:val="-11"/>
        </w:rPr>
        <w:t> </w:t>
      </w:r>
      <w:r>
        <w:rPr/>
        <w:t>5-10</w:t>
      </w:r>
      <w:r>
        <w:rPr>
          <w:spacing w:val="-6"/>
        </w:rPr>
        <w:t> </w:t>
      </w:r>
      <w:r>
        <w:rPr/>
        <w:t>mg</w:t>
      </w:r>
      <w:r>
        <w:rPr>
          <w:spacing w:val="-6"/>
        </w:rPr>
        <w:t> </w:t>
      </w:r>
      <w:r>
        <w:rPr/>
        <w:t>daily</w:t>
      </w:r>
      <w:r>
        <w:rPr>
          <w:spacing w:val="-12"/>
        </w:rPr>
        <w:t> </w:t>
      </w:r>
      <w:r>
        <w:rPr/>
        <w:t>prevents</w:t>
      </w:r>
      <w:r>
        <w:rPr>
          <w:spacing w:val="-5"/>
        </w:rPr>
        <w:t> </w:t>
      </w:r>
      <w:r>
        <w:rPr/>
        <w:t>the</w:t>
      </w:r>
      <w:r>
        <w:rPr>
          <w:spacing w:val="-65"/>
        </w:rPr>
        <w:t> </w:t>
      </w:r>
      <w:r>
        <w:rPr/>
        <w:t>emergence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neurological</w:t>
      </w:r>
      <w:r>
        <w:rPr>
          <w:spacing w:val="1"/>
        </w:rPr>
        <w:t> </w:t>
      </w:r>
      <w:r>
        <w:rPr/>
        <w:t>manifestations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Biotinidase</w:t>
      </w:r>
      <w:r>
        <w:rPr>
          <w:spacing w:val="1"/>
        </w:rPr>
        <w:t> </w:t>
      </w:r>
      <w:r>
        <w:rPr/>
        <w:t>deficiency</w:t>
      </w:r>
      <w:r>
        <w:rPr>
          <w:spacing w:val="1"/>
        </w:rPr>
        <w:t> </w:t>
      </w:r>
      <w:r>
        <w:rPr/>
        <w:t>when</w:t>
      </w:r>
      <w:r>
        <w:rPr>
          <w:spacing w:val="1"/>
        </w:rPr>
        <w:t> </w:t>
      </w:r>
      <w:r>
        <w:rPr/>
        <w:t>started presymptomatically. Her seizures then responded to levetiracetam. Of</w:t>
      </w:r>
      <w:r>
        <w:rPr>
          <w:spacing w:val="1"/>
        </w:rPr>
        <w:t> </w:t>
      </w:r>
      <w:r>
        <w:rPr>
          <w:spacing w:val="-1"/>
        </w:rPr>
        <w:t>interest,</w:t>
      </w:r>
      <w:r>
        <w:rPr>
          <w:spacing w:val="-9"/>
        </w:rPr>
        <w:t> </w:t>
      </w:r>
      <w:r>
        <w:rPr>
          <w:spacing w:val="-1"/>
        </w:rPr>
        <w:t>her</w:t>
      </w:r>
      <w:r>
        <w:rPr>
          <w:spacing w:val="-8"/>
        </w:rPr>
        <w:t> </w:t>
      </w:r>
      <w:r>
        <w:rPr>
          <w:spacing w:val="-1"/>
        </w:rPr>
        <w:t>older</w:t>
      </w:r>
      <w:r>
        <w:rPr>
          <w:spacing w:val="-8"/>
        </w:rPr>
        <w:t> </w:t>
      </w:r>
      <w:r>
        <w:rPr>
          <w:spacing w:val="-1"/>
        </w:rPr>
        <w:t>male</w:t>
      </w:r>
      <w:r>
        <w:rPr>
          <w:spacing w:val="-9"/>
        </w:rPr>
        <w:t> </w:t>
      </w:r>
      <w:r>
        <w:rPr/>
        <w:t>sibling,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proband,</w:t>
      </w:r>
      <w:r>
        <w:rPr>
          <w:spacing w:val="-9"/>
        </w:rPr>
        <w:t> </w:t>
      </w:r>
      <w:r>
        <w:rPr/>
        <w:t>has</w:t>
      </w:r>
      <w:r>
        <w:rPr>
          <w:spacing w:val="-10"/>
        </w:rPr>
        <w:t> </w:t>
      </w:r>
      <w:r>
        <w:rPr/>
        <w:t>also</w:t>
      </w:r>
      <w:r>
        <w:rPr>
          <w:spacing w:val="-8"/>
        </w:rPr>
        <w:t> </w:t>
      </w:r>
      <w:r>
        <w:rPr/>
        <w:t>suffered</w:t>
      </w:r>
      <w:r>
        <w:rPr>
          <w:spacing w:val="-9"/>
        </w:rPr>
        <w:t> </w:t>
      </w:r>
      <w:r>
        <w:rPr/>
        <w:t>from</w:t>
      </w:r>
      <w:r>
        <w:rPr>
          <w:spacing w:val="-17"/>
        </w:rPr>
        <w:t> </w:t>
      </w:r>
      <w:r>
        <w:rPr/>
        <w:t>emergence</w:t>
      </w:r>
      <w:r>
        <w:rPr>
          <w:spacing w:val="-64"/>
        </w:rPr>
        <w:t> </w:t>
      </w:r>
      <w:r>
        <w:rPr/>
        <w:t>of seizures while on Biotin therapy, and required levetiracetam for seizure</w:t>
      </w:r>
      <w:r>
        <w:rPr>
          <w:spacing w:val="1"/>
        </w:rPr>
        <w:t> </w:t>
      </w:r>
      <w:r>
        <w:rPr/>
        <w:t>control. He is now 7 years old and has normal neurodevelopment.</w:t>
      </w:r>
      <w:r>
        <w:rPr>
          <w:spacing w:val="1"/>
        </w:rPr>
        <w:t> </w:t>
      </w:r>
      <w:r>
        <w:rPr/>
        <w:t>There is a</w:t>
      </w:r>
      <w:r>
        <w:rPr>
          <w:spacing w:val="1"/>
        </w:rPr>
        <w:t> </w:t>
      </w:r>
      <w:r>
        <w:rPr/>
        <w:t>history of 2 sibling death before 6 months of age due to metabolic crisis before</w:t>
      </w:r>
      <w:r>
        <w:rPr>
          <w:spacing w:val="-64"/>
        </w:rPr>
        <w:t> </w:t>
      </w:r>
      <w:r>
        <w:rPr/>
        <w:t>the</w:t>
      </w:r>
      <w:r>
        <w:rPr>
          <w:spacing w:val="-1"/>
        </w:rPr>
        <w:t> </w:t>
      </w:r>
      <w:r>
        <w:rPr/>
        <w:t>confirmed diagnosis of</w:t>
      </w:r>
      <w:r>
        <w:rPr>
          <w:spacing w:val="-6"/>
        </w:rPr>
        <w:t> </w:t>
      </w:r>
      <w:r>
        <w:rPr/>
        <w:t>Biotinidase deficiency.</w:t>
      </w:r>
    </w:p>
    <w:p>
      <w:pPr>
        <w:spacing w:after="0" w:line="360" w:lineRule="auto"/>
        <w:jc w:val="both"/>
        <w:sectPr>
          <w:type w:val="continuous"/>
          <w:pgSz w:w="11910" w:h="16840"/>
          <w:pgMar w:top="1580" w:bottom="280" w:left="1340" w:right="1320"/>
        </w:sectPr>
      </w:pP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362" w:lineRule="auto" w:before="73" w:after="0"/>
        <w:ind w:left="821" w:right="144" w:hanging="361"/>
        <w:jc w:val="left"/>
        <w:rPr>
          <w:sz w:val="24"/>
        </w:rPr>
      </w:pPr>
      <w:r>
        <w:rPr>
          <w:rFonts w:ascii="Arial"/>
          <w:b/>
          <w:sz w:val="24"/>
        </w:rPr>
        <w:t>Conclusions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Our</w:t>
      </w:r>
      <w:r>
        <w:rPr>
          <w:spacing w:val="-2"/>
          <w:sz w:val="24"/>
        </w:rPr>
        <w:t> </w:t>
      </w:r>
      <w:r>
        <w:rPr>
          <w:sz w:val="24"/>
        </w:rPr>
        <w:t>case</w:t>
      </w:r>
      <w:r>
        <w:rPr>
          <w:spacing w:val="-6"/>
          <w:sz w:val="24"/>
        </w:rPr>
        <w:t> </w:t>
      </w:r>
      <w:r>
        <w:rPr>
          <w:sz w:val="24"/>
        </w:rPr>
        <w:t>series</w:t>
      </w:r>
      <w:r>
        <w:rPr>
          <w:spacing w:val="-3"/>
          <w:sz w:val="24"/>
        </w:rPr>
        <w:t> </w:t>
      </w:r>
      <w:r>
        <w:rPr>
          <w:sz w:val="24"/>
        </w:rPr>
        <w:t>demonstrates</w:t>
      </w:r>
      <w:r>
        <w:rPr>
          <w:spacing w:val="-7"/>
          <w:sz w:val="24"/>
        </w:rPr>
        <w:t> </w:t>
      </w:r>
      <w:r>
        <w:rPr>
          <w:sz w:val="24"/>
        </w:rPr>
        <w:t>several</w:t>
      </w:r>
      <w:r>
        <w:rPr>
          <w:spacing w:val="-3"/>
          <w:sz w:val="24"/>
        </w:rPr>
        <w:t> </w:t>
      </w:r>
      <w:r>
        <w:rPr>
          <w:sz w:val="24"/>
        </w:rPr>
        <w:t>learning</w:t>
      </w:r>
      <w:r>
        <w:rPr>
          <w:spacing w:val="-3"/>
          <w:sz w:val="24"/>
        </w:rPr>
        <w:t> </w:t>
      </w:r>
      <w:r>
        <w:rPr>
          <w:sz w:val="24"/>
        </w:rPr>
        <w:t>points;</w:t>
      </w:r>
      <w:r>
        <w:rPr>
          <w:spacing w:val="-3"/>
          <w:sz w:val="24"/>
        </w:rPr>
        <w:t> </w:t>
      </w:r>
      <w:r>
        <w:rPr>
          <w:sz w:val="24"/>
        </w:rPr>
        <w:t>(1)</w:t>
      </w:r>
      <w:r>
        <w:rPr>
          <w:spacing w:val="-1"/>
          <w:sz w:val="24"/>
        </w:rPr>
        <w:t> </w:t>
      </w:r>
      <w:r>
        <w:rPr>
          <w:sz w:val="24"/>
        </w:rPr>
        <w:t>Early</w:t>
      </w:r>
      <w:r>
        <w:rPr>
          <w:spacing w:val="-64"/>
          <w:sz w:val="24"/>
        </w:rPr>
        <w:t> </w:t>
      </w:r>
      <w:r>
        <w:rPr>
          <w:sz w:val="24"/>
        </w:rPr>
        <w:t>presymptomatic biotin replacement prevents death and poor</w:t>
      </w:r>
      <w:r>
        <w:rPr>
          <w:spacing w:val="1"/>
          <w:sz w:val="24"/>
        </w:rPr>
        <w:t> </w:t>
      </w:r>
      <w:r>
        <w:rPr>
          <w:sz w:val="24"/>
        </w:rPr>
        <w:t>neurodevelopmental outcome, (2) emergences of seizures on biotin</w:t>
      </w:r>
      <w:r>
        <w:rPr>
          <w:spacing w:val="1"/>
          <w:sz w:val="24"/>
        </w:rPr>
        <w:t> </w:t>
      </w:r>
      <w:r>
        <w:rPr>
          <w:sz w:val="24"/>
        </w:rPr>
        <w:t>replacement should raise concern for a comorbid independent epileptic</w:t>
      </w:r>
      <w:r>
        <w:rPr>
          <w:spacing w:val="1"/>
          <w:sz w:val="24"/>
        </w:rPr>
        <w:t> </w:t>
      </w:r>
      <w:r>
        <w:rPr>
          <w:sz w:val="24"/>
        </w:rPr>
        <w:t>disorder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warrant</w:t>
      </w:r>
      <w:r>
        <w:rPr>
          <w:spacing w:val="-5"/>
          <w:sz w:val="24"/>
        </w:rPr>
        <w:t> </w:t>
      </w:r>
      <w:r>
        <w:rPr>
          <w:sz w:val="24"/>
        </w:rPr>
        <w:t>initiation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appropriate</w:t>
      </w:r>
      <w:r>
        <w:rPr>
          <w:spacing w:val="-2"/>
          <w:sz w:val="24"/>
        </w:rPr>
        <w:t> </w:t>
      </w:r>
      <w:r>
        <w:rPr>
          <w:sz w:val="24"/>
        </w:rPr>
        <w:t>antiepileptic</w:t>
      </w:r>
      <w:r>
        <w:rPr>
          <w:spacing w:val="-1"/>
          <w:sz w:val="24"/>
        </w:rPr>
        <w:t> </w:t>
      </w:r>
      <w:r>
        <w:rPr>
          <w:sz w:val="24"/>
        </w:rPr>
        <w:t>drug</w:t>
      </w:r>
      <w:r>
        <w:rPr>
          <w:spacing w:val="-1"/>
          <w:sz w:val="24"/>
        </w:rPr>
        <w:t> </w:t>
      </w:r>
      <w:r>
        <w:rPr>
          <w:sz w:val="24"/>
        </w:rPr>
        <w:t>therapy.</w:t>
      </w:r>
    </w:p>
    <w:p>
      <w:pPr>
        <w:pStyle w:val="BodyText"/>
        <w:spacing w:before="11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1" w:right="0" w:hanging="361"/>
        <w:jc w:val="left"/>
      </w:pPr>
      <w:r>
        <w:rPr/>
        <w:t>References: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ListParagraph"/>
        <w:numPr>
          <w:ilvl w:val="1"/>
          <w:numId w:val="1"/>
        </w:numPr>
        <w:tabs>
          <w:tab w:pos="1042" w:val="left" w:leader="none"/>
        </w:tabs>
        <w:spacing w:line="360" w:lineRule="auto" w:before="226" w:after="0"/>
        <w:ind w:left="821" w:right="314" w:firstLine="0"/>
        <w:jc w:val="left"/>
        <w:rPr>
          <w:sz w:val="20"/>
        </w:rPr>
      </w:pPr>
      <w:r>
        <w:rPr>
          <w:sz w:val="20"/>
        </w:rPr>
        <w:t>Wolf B, Heard GS. Disorders of biotin metabolism. In: Scriver CR, Beaudet AL, Sly WS,</w:t>
      </w:r>
      <w:r>
        <w:rPr>
          <w:spacing w:val="1"/>
          <w:sz w:val="20"/>
        </w:rPr>
        <w:t> </w:t>
      </w:r>
      <w:r>
        <w:rPr>
          <w:sz w:val="20"/>
        </w:rPr>
        <w:t>Valle D, eds. The metabolic basis of inherited disease. New York: McGraw-Hill, 1989:2083–</w:t>
      </w:r>
      <w:r>
        <w:rPr>
          <w:spacing w:val="-53"/>
          <w:sz w:val="20"/>
        </w:rPr>
        <w:t> </w:t>
      </w:r>
      <w:r>
        <w:rPr>
          <w:sz w:val="20"/>
        </w:rPr>
        <w:t>103.</w:t>
      </w:r>
    </w:p>
    <w:p>
      <w:pPr>
        <w:pStyle w:val="ListParagraph"/>
        <w:numPr>
          <w:ilvl w:val="1"/>
          <w:numId w:val="1"/>
        </w:numPr>
        <w:tabs>
          <w:tab w:pos="1042" w:val="left" w:leader="none"/>
        </w:tabs>
        <w:spacing w:line="364" w:lineRule="auto" w:before="194" w:after="0"/>
        <w:ind w:left="821" w:right="187" w:firstLine="0"/>
        <w:jc w:val="left"/>
        <w:rPr>
          <w:sz w:val="20"/>
        </w:rPr>
      </w:pPr>
      <w:r>
        <w:rPr>
          <w:sz w:val="20"/>
        </w:rPr>
        <w:t>Wolf B. The neurology of biotinidase deficiency. </w:t>
      </w:r>
      <w:r>
        <w:rPr>
          <w:rFonts w:ascii="Arial"/>
          <w:i/>
          <w:sz w:val="20"/>
        </w:rPr>
        <w:t>Molecular Genetics and Metabolism </w:t>
      </w:r>
      <w:r>
        <w:rPr>
          <w:sz w:val="20"/>
        </w:rPr>
        <w:t>2011;</w:t>
      </w:r>
      <w:r>
        <w:rPr>
          <w:spacing w:val="-53"/>
          <w:sz w:val="20"/>
        </w:rPr>
        <w:t> </w:t>
      </w:r>
      <w:r>
        <w:rPr>
          <w:sz w:val="20"/>
        </w:rPr>
        <w:t>104(1-2):27-34.</w:t>
      </w:r>
      <w:hyperlink r:id="rId6">
        <w:r>
          <w:rPr>
            <w:sz w:val="20"/>
          </w:rPr>
          <w:t>http://dx.doi.org/10.1016/j.ymgme.2011.06.001PMid:</w:t>
        </w:r>
        <w:r>
          <w:rPr>
            <w:spacing w:val="-4"/>
            <w:sz w:val="20"/>
          </w:rPr>
          <w:t> </w:t>
        </w:r>
      </w:hyperlink>
      <w:r>
        <w:rPr>
          <w:sz w:val="20"/>
        </w:rPr>
        <w:t>21696988</w:t>
      </w:r>
    </w:p>
    <w:p>
      <w:pPr>
        <w:pStyle w:val="ListParagraph"/>
        <w:numPr>
          <w:ilvl w:val="1"/>
          <w:numId w:val="1"/>
        </w:numPr>
        <w:tabs>
          <w:tab w:pos="1042" w:val="left" w:leader="none"/>
        </w:tabs>
        <w:spacing w:line="240" w:lineRule="auto" w:before="156" w:after="0"/>
        <w:ind w:left="1041" w:right="0" w:hanging="221"/>
        <w:jc w:val="left"/>
        <w:rPr>
          <w:sz w:val="20"/>
        </w:rPr>
      </w:pPr>
      <w:r>
        <w:rPr>
          <w:sz w:val="20"/>
        </w:rPr>
        <w:t>Wolf</w:t>
      </w:r>
      <w:r>
        <w:rPr>
          <w:spacing w:val="1"/>
          <w:sz w:val="20"/>
        </w:rPr>
        <w:t> </w:t>
      </w:r>
      <w:r>
        <w:rPr>
          <w:sz w:val="20"/>
        </w:rPr>
        <w:t>B.</w:t>
      </w:r>
      <w:r>
        <w:rPr>
          <w:spacing w:val="-3"/>
          <w:sz w:val="20"/>
        </w:rPr>
        <w:t> </w:t>
      </w:r>
      <w:r>
        <w:rPr>
          <w:sz w:val="20"/>
        </w:rPr>
        <w:t>Biotinidase Deficiency.</w:t>
      </w:r>
      <w:r>
        <w:rPr>
          <w:spacing w:val="-3"/>
          <w:sz w:val="20"/>
        </w:rPr>
        <w:t> </w:t>
      </w:r>
      <w:hyperlink r:id="rId7">
        <w:r>
          <w:rPr>
            <w:sz w:val="20"/>
            <w:u w:val="single"/>
          </w:rPr>
          <w:t>GeneReviews</w:t>
        </w:r>
        <w:r>
          <w:rPr>
            <w:spacing w:val="-4"/>
            <w:sz w:val="20"/>
            <w:u w:val="single"/>
          </w:rPr>
          <w:t> </w:t>
        </w:r>
        <w:r>
          <w:rPr>
            <w:sz w:val="20"/>
            <w:u w:val="single"/>
          </w:rPr>
          <w:t>2016</w:t>
        </w:r>
        <w:r>
          <w:rPr>
            <w:spacing w:val="-1"/>
            <w:sz w:val="20"/>
            <w:u w:val="single"/>
          </w:rPr>
          <w:t> </w:t>
        </w:r>
        <w:r>
          <w:rPr>
            <w:sz w:val="20"/>
            <w:u w:val="single"/>
          </w:rPr>
          <w:t>Jun</w:t>
        </w:r>
        <w:r>
          <w:rPr>
            <w:spacing w:val="-1"/>
            <w:sz w:val="20"/>
            <w:u w:val="single"/>
          </w:rPr>
          <w:t> </w:t>
        </w:r>
        <w:r>
          <w:rPr>
            <w:sz w:val="20"/>
            <w:u w:val="single"/>
          </w:rPr>
          <w:t>9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989" w:val="left" w:leader="none"/>
        </w:tabs>
        <w:spacing w:line="360" w:lineRule="auto" w:before="0" w:after="0"/>
        <w:ind w:left="821" w:right="261" w:firstLine="0"/>
        <w:jc w:val="left"/>
        <w:rPr>
          <w:sz w:val="20"/>
        </w:rPr>
      </w:pPr>
      <w:r>
        <w:rPr>
          <w:sz w:val="20"/>
        </w:rPr>
        <w:t>Outcomes of individuals with profound and partial biotinidase deficiency ascertained by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newborn screening </w:t>
      </w:r>
      <w:r>
        <w:rPr>
          <w:sz w:val="20"/>
        </w:rPr>
        <w:t>in Michigan over 25 years </w:t>
      </w:r>
      <w:hyperlink r:id="rId8">
        <w:r>
          <w:rPr>
            <w:sz w:val="20"/>
          </w:rPr>
          <w:t>Allison M Jay </w:t>
        </w:r>
      </w:hyperlink>
      <w:hyperlink r:id="rId9">
        <w:r>
          <w:rPr>
            <w:sz w:val="20"/>
            <w:vertAlign w:val="superscript"/>
          </w:rPr>
          <w:t>1</w:t>
        </w:r>
        <w:r>
          <w:rPr>
            <w:sz w:val="20"/>
            <w:vertAlign w:val="baseline"/>
          </w:rPr>
          <w:t> </w:t>
        </w:r>
      </w:hyperlink>
      <w:r>
        <w:rPr>
          <w:sz w:val="20"/>
          <w:vertAlign w:val="baseline"/>
        </w:rPr>
        <w:t>, </w:t>
      </w:r>
      <w:hyperlink r:id="rId10">
        <w:r>
          <w:rPr>
            <w:sz w:val="20"/>
            <w:vertAlign w:val="baseline"/>
          </w:rPr>
          <w:t>Robert L Conway </w:t>
        </w:r>
      </w:hyperlink>
      <w:hyperlink r:id="rId9">
        <w:r>
          <w:rPr>
            <w:sz w:val="20"/>
            <w:vertAlign w:val="superscript"/>
          </w:rPr>
          <w:t>1</w:t>
        </w:r>
        <w:r>
          <w:rPr>
            <w:sz w:val="20"/>
            <w:vertAlign w:val="baseline"/>
          </w:rPr>
          <w:t> </w:t>
        </w:r>
      </w:hyperlink>
      <w:r>
        <w:rPr>
          <w:sz w:val="20"/>
          <w:vertAlign w:val="baseline"/>
        </w:rPr>
        <w:t>, </w:t>
      </w:r>
      <w:hyperlink r:id="rId11">
        <w:r>
          <w:rPr>
            <w:sz w:val="20"/>
            <w:vertAlign w:val="baseline"/>
          </w:rPr>
          <w:t>Gerald L</w:t>
        </w:r>
      </w:hyperlink>
      <w:r>
        <w:rPr>
          <w:spacing w:val="-53"/>
          <w:sz w:val="20"/>
          <w:vertAlign w:val="baseline"/>
        </w:rPr>
        <w:t> </w:t>
      </w:r>
      <w:hyperlink r:id="rId11">
        <w:r>
          <w:rPr>
            <w:spacing w:val="-1"/>
            <w:sz w:val="20"/>
            <w:vertAlign w:val="baseline"/>
          </w:rPr>
          <w:t>Feldman </w:t>
        </w:r>
      </w:hyperlink>
      <w:hyperlink r:id="rId12">
        <w:r>
          <w:rPr>
            <w:sz w:val="20"/>
            <w:vertAlign w:val="superscript"/>
          </w:rPr>
          <w:t>2</w:t>
        </w:r>
        <w:r>
          <w:rPr>
            <w:sz w:val="20"/>
            <w:vertAlign w:val="baseline"/>
          </w:rPr>
          <w:t> , </w:t>
        </w:r>
      </w:hyperlink>
      <w:hyperlink r:id="rId13">
        <w:r>
          <w:rPr>
            <w:sz w:val="20"/>
            <w:vertAlign w:val="baseline"/>
          </w:rPr>
          <w:t>Fatimah Nahhas </w:t>
        </w:r>
      </w:hyperlink>
      <w:hyperlink r:id="rId14">
        <w:r>
          <w:rPr>
            <w:sz w:val="20"/>
            <w:vertAlign w:val="superscript"/>
          </w:rPr>
          <w:t>3</w:t>
        </w:r>
        <w:r>
          <w:rPr>
            <w:sz w:val="20"/>
            <w:vertAlign w:val="baseline"/>
          </w:rPr>
          <w:t> </w:t>
        </w:r>
      </w:hyperlink>
      <w:r>
        <w:rPr>
          <w:sz w:val="20"/>
          <w:vertAlign w:val="baseline"/>
        </w:rPr>
        <w:t>, </w:t>
      </w:r>
      <w:hyperlink r:id="rId15">
        <w:r>
          <w:rPr>
            <w:sz w:val="20"/>
            <w:vertAlign w:val="baseline"/>
          </w:rPr>
          <w:t>Linda Spencer </w:t>
        </w:r>
      </w:hyperlink>
      <w:hyperlink r:id="rId9">
        <w:r>
          <w:rPr>
            <w:sz w:val="20"/>
            <w:vertAlign w:val="superscript"/>
          </w:rPr>
          <w:t>1</w:t>
        </w:r>
        <w:r>
          <w:rPr>
            <w:sz w:val="20"/>
            <w:vertAlign w:val="baseline"/>
          </w:rPr>
          <w:t> </w:t>
        </w:r>
      </w:hyperlink>
      <w:hyperlink r:id="rId16">
        <w:r>
          <w:rPr>
            <w:sz w:val="20"/>
            <w:vertAlign w:val="baseline"/>
          </w:rPr>
          <w:t>,Barry Wolf</w:t>
        </w:r>
      </w:hyperlink>
      <w:r>
        <w:rPr>
          <w:sz w:val="20"/>
          <w:vertAlign w:val="baseline"/>
        </w:rPr>
        <w:t>. 2015 Mar;17(3):205-9.doi: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10.1038/gim.2014.104.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Epub 2014 Aug 21.</w:t>
      </w:r>
    </w:p>
    <w:sectPr>
      <w:pgSz w:w="11910" w:h="16840"/>
      <w:pgMar w:top="134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21" w:hanging="361"/>
        <w:jc w:val="left"/>
      </w:pPr>
      <w:rPr>
        <w:rFonts w:hint="default"/>
        <w:b/>
        <w:bCs/>
        <w:w w:val="99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21" w:hanging="221"/>
        <w:jc w:val="left"/>
      </w:pPr>
      <w:rPr>
        <w:rFonts w:hint="default" w:ascii="Arial MT" w:hAnsi="Arial MT" w:eastAsia="Arial MT" w:cs="Arial MT"/>
        <w:spacing w:val="-2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4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89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3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74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59" w:hanging="2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21" w:hanging="361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1" w:hanging="361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ijmbs.org/searchresult.asp?search&amp;author=Waseem%2BMahmoud%2BFathalla&amp;journal=Y&amp;but_search=Search&amp;entries=10&amp;pg=1&amp;s=0" TargetMode="External"/><Relationship Id="rId6" Type="http://schemas.openxmlformats.org/officeDocument/2006/relationships/hyperlink" Target="http://dx.doi.org/10.1016/j.ymgme.2011.06.001PMid" TargetMode="External"/><Relationship Id="rId7" Type="http://schemas.openxmlformats.org/officeDocument/2006/relationships/hyperlink" Target="https://www.ncbi.nlm.nih.gov/books/NBK1322/" TargetMode="External"/><Relationship Id="rId8" Type="http://schemas.openxmlformats.org/officeDocument/2006/relationships/hyperlink" Target="https://pubmed.ncbi.nlm.nih.gov/?term=Jay%2BAM&amp;cauthor_id=25144890" TargetMode="External"/><Relationship Id="rId9" Type="http://schemas.openxmlformats.org/officeDocument/2006/relationships/hyperlink" Target="https://pubmed.ncbi.nlm.nih.gov/25144890/#affiliation-1" TargetMode="External"/><Relationship Id="rId10" Type="http://schemas.openxmlformats.org/officeDocument/2006/relationships/hyperlink" Target="https://pubmed.ncbi.nlm.nih.gov/?term=Conway%2BRL&amp;cauthor_id=25144890" TargetMode="External"/><Relationship Id="rId11" Type="http://schemas.openxmlformats.org/officeDocument/2006/relationships/hyperlink" Target="https://pubmed.ncbi.nlm.nih.gov/?term=Feldman%2BGL&amp;cauthor_id=25144890" TargetMode="External"/><Relationship Id="rId12" Type="http://schemas.openxmlformats.org/officeDocument/2006/relationships/hyperlink" Target="https://pubmed.ncbi.nlm.nih.gov/25144890/#affiliation-2" TargetMode="External"/><Relationship Id="rId13" Type="http://schemas.openxmlformats.org/officeDocument/2006/relationships/hyperlink" Target="https://pubmed.ncbi.nlm.nih.gov/?term=Nahhas%2BF&amp;cauthor_id=25144890" TargetMode="External"/><Relationship Id="rId14" Type="http://schemas.openxmlformats.org/officeDocument/2006/relationships/hyperlink" Target="https://pubmed.ncbi.nlm.nih.gov/25144890/#affiliation-3" TargetMode="External"/><Relationship Id="rId15" Type="http://schemas.openxmlformats.org/officeDocument/2006/relationships/hyperlink" Target="https://pubmed.ncbi.nlm.nih.gov/?term=Spencer%2BL&amp;cauthor_id=25144890" TargetMode="External"/><Relationship Id="rId16" Type="http://schemas.openxmlformats.org/officeDocument/2006/relationships/hyperlink" Target="https://pubmed.ncbi.nlm.nih.gov/?term=Wolf%2BB&amp;cauthor_id=25144890" TargetMode="External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Olla Amer Moustafa Alkhoja</dc:creator>
  <dcterms:created xsi:type="dcterms:W3CDTF">2023-04-27T09:37:54Z</dcterms:created>
  <dcterms:modified xsi:type="dcterms:W3CDTF">2023-04-27T09:37:54Z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2023-04-27T00:00:00Z</vt:filetime>
  </property>
</Properties>
</file>