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209FC" w14:textId="4357D7B1" w:rsidR="00AE3E37" w:rsidRDefault="008D09A6" w:rsidP="000534A1">
      <w:pPr>
        <w:pStyle w:val="Nadpis1"/>
        <w:spacing w:before="170"/>
        <w:ind w:left="0"/>
        <w:jc w:val="both"/>
      </w:pPr>
      <w:r>
        <w:rPr>
          <w:color w:val="337AB7"/>
        </w:rPr>
        <w:t xml:space="preserve">The </w:t>
      </w:r>
      <w:r w:rsidR="00C228E6">
        <w:rPr>
          <w:color w:val="337AB7"/>
        </w:rPr>
        <w:t>w</w:t>
      </w:r>
      <w:r>
        <w:rPr>
          <w:color w:val="337AB7"/>
        </w:rPr>
        <w:t>ound healing p</w:t>
      </w:r>
      <w:r w:rsidRPr="008D09A6">
        <w:rPr>
          <w:color w:val="337AB7"/>
        </w:rPr>
        <w:t xml:space="preserve">otential of </w:t>
      </w:r>
      <w:r w:rsidR="00C228E6">
        <w:rPr>
          <w:color w:val="337AB7"/>
        </w:rPr>
        <w:t>a</w:t>
      </w:r>
      <w:r w:rsidRPr="008D09A6">
        <w:rPr>
          <w:color w:val="337AB7"/>
        </w:rPr>
        <w:t>grimony</w:t>
      </w:r>
      <w:r>
        <w:rPr>
          <w:color w:val="337AB7"/>
        </w:rPr>
        <w:t xml:space="preserve"> </w:t>
      </w:r>
    </w:p>
    <w:p w14:paraId="364FE8F4" w14:textId="18354E64" w:rsidR="001A5169" w:rsidRDefault="001A5169" w:rsidP="001A5169">
      <w:pPr>
        <w:pStyle w:val="Zkladntext"/>
        <w:spacing w:before="73" w:line="198" w:lineRule="exact"/>
        <w:ind w:left="100" w:right="5987"/>
        <w:rPr>
          <w:rFonts w:ascii="Arial"/>
        </w:rPr>
      </w:pPr>
      <w:r>
        <w:rPr>
          <w:rFonts w:ascii="Arial"/>
        </w:rPr>
        <w:t xml:space="preserve">Pavel Mucaji, Prof </w:t>
      </w:r>
      <w:proofErr w:type="spellStart"/>
      <w:r>
        <w:rPr>
          <w:rFonts w:ascii="Arial"/>
        </w:rPr>
        <w:t>PharmDr</w:t>
      </w:r>
      <w:proofErr w:type="spellEnd"/>
      <w:r>
        <w:rPr>
          <w:rFonts w:ascii="Arial"/>
        </w:rPr>
        <w:t xml:space="preserve"> </w:t>
      </w:r>
      <w:proofErr w:type="spellStart"/>
      <w:proofErr w:type="gramStart"/>
      <w:r>
        <w:rPr>
          <w:rFonts w:ascii="Arial"/>
        </w:rPr>
        <w:t>Ph</w:t>
      </w:r>
      <w:r>
        <w:rPr>
          <w:rFonts w:ascii="Arial"/>
        </w:rPr>
        <w:t>.</w:t>
      </w:r>
      <w:r>
        <w:rPr>
          <w:rFonts w:ascii="Arial"/>
        </w:rPr>
        <w:t>D</w:t>
      </w:r>
      <w:proofErr w:type="spellEnd"/>
      <w:proofErr w:type="gramEnd"/>
      <w:r>
        <w:rPr>
          <w:rFonts w:ascii="Arial"/>
        </w:rPr>
        <w:t xml:space="preserve">, Faculty of Pharmacy, </w:t>
      </w:r>
      <w:r>
        <w:rPr>
          <w:rFonts w:ascii="Arial"/>
        </w:rPr>
        <w:t xml:space="preserve">Comenius University, Bratislava, </w:t>
      </w:r>
      <w:r>
        <w:rPr>
          <w:rFonts w:ascii="Arial"/>
        </w:rPr>
        <w:t>Slovakia</w:t>
      </w:r>
    </w:p>
    <w:p w14:paraId="5CAE7611" w14:textId="27CB042D" w:rsidR="001A5169" w:rsidRDefault="001A5169" w:rsidP="001A5169">
      <w:pPr>
        <w:pStyle w:val="Zkladntext"/>
        <w:spacing w:before="73" w:line="198" w:lineRule="exact"/>
        <w:ind w:left="100" w:right="5987"/>
        <w:rPr>
          <w:rFonts w:ascii="Arial"/>
        </w:rPr>
      </w:pPr>
      <w:r>
        <w:rPr>
          <w:rFonts w:ascii="Arial"/>
        </w:rPr>
        <w:t>Martina Papa</w:t>
      </w:r>
      <w:r w:rsidR="00B97B36">
        <w:rPr>
          <w:rFonts w:ascii="Arial"/>
        </w:rPr>
        <w:t>dako</w:t>
      </w:r>
      <w:r>
        <w:rPr>
          <w:rFonts w:ascii="Arial"/>
        </w:rPr>
        <w:t xml:space="preserve">s, </w:t>
      </w:r>
      <w:proofErr w:type="spellStart"/>
      <w:r>
        <w:rPr>
          <w:rFonts w:ascii="Arial"/>
        </w:rPr>
        <w:t>PharmDr</w:t>
      </w:r>
      <w:proofErr w:type="spellEnd"/>
      <w:r>
        <w:rPr>
          <w:rFonts w:ascii="Arial"/>
        </w:rPr>
        <w:t xml:space="preserve">., </w:t>
      </w:r>
      <w:proofErr w:type="spellStart"/>
      <w:proofErr w:type="gramStart"/>
      <w:r>
        <w:rPr>
          <w:rFonts w:ascii="Arial"/>
        </w:rPr>
        <w:t>Ph.D</w:t>
      </w:r>
      <w:proofErr w:type="spellEnd"/>
      <w:proofErr w:type="gramEnd"/>
      <w:r>
        <w:rPr>
          <w:rFonts w:ascii="Arial"/>
        </w:rPr>
        <w:t xml:space="preserve">, Faculty of Pharmacy, </w:t>
      </w:r>
      <w:r>
        <w:rPr>
          <w:rFonts w:ascii="Arial"/>
        </w:rPr>
        <w:t>Comenius University, Bratislava</w:t>
      </w:r>
      <w:r>
        <w:rPr>
          <w:rFonts w:ascii="Arial"/>
        </w:rPr>
        <w:t>, Slovakia</w:t>
      </w:r>
    </w:p>
    <w:p w14:paraId="1016404A" w14:textId="4E08B4E2" w:rsidR="001A5169" w:rsidRDefault="001A5169" w:rsidP="001A5169">
      <w:pPr>
        <w:pStyle w:val="Zkladntext"/>
        <w:spacing w:before="73" w:line="198" w:lineRule="exact"/>
        <w:ind w:left="100" w:right="5987"/>
        <w:rPr>
          <w:rFonts w:ascii="Arial"/>
        </w:rPr>
      </w:pPr>
      <w:r>
        <w:rPr>
          <w:rFonts w:ascii="Arial"/>
        </w:rPr>
        <w:t xml:space="preserve">Elena </w:t>
      </w:r>
      <w:proofErr w:type="spellStart"/>
      <w:r>
        <w:rPr>
          <w:rFonts w:ascii="Arial"/>
        </w:rPr>
        <w:t>Kurin</w:t>
      </w:r>
      <w:proofErr w:type="spellEnd"/>
      <w:r>
        <w:rPr>
          <w:rFonts w:ascii="Arial"/>
        </w:rPr>
        <w:t xml:space="preserve">, </w:t>
      </w:r>
      <w:proofErr w:type="spellStart"/>
      <w:r>
        <w:rPr>
          <w:rFonts w:ascii="Arial"/>
        </w:rPr>
        <w:t>PharmDr</w:t>
      </w:r>
      <w:proofErr w:type="spellEnd"/>
      <w:r>
        <w:rPr>
          <w:rFonts w:ascii="Arial"/>
        </w:rPr>
        <w:t xml:space="preserve"> </w:t>
      </w:r>
      <w:proofErr w:type="spellStart"/>
      <w:r>
        <w:rPr>
          <w:rFonts w:ascii="Arial"/>
        </w:rPr>
        <w:t>Mgr</w:t>
      </w:r>
      <w:proofErr w:type="spellEnd"/>
      <w:r>
        <w:rPr>
          <w:rFonts w:ascii="Arial"/>
        </w:rPr>
        <w:t xml:space="preserve"> </w:t>
      </w:r>
      <w:proofErr w:type="spellStart"/>
      <w:proofErr w:type="gramStart"/>
      <w:r>
        <w:rPr>
          <w:rFonts w:ascii="Arial"/>
        </w:rPr>
        <w:t>Ph</w:t>
      </w:r>
      <w:r>
        <w:rPr>
          <w:rFonts w:ascii="Arial"/>
        </w:rPr>
        <w:t>.</w:t>
      </w:r>
      <w:r>
        <w:rPr>
          <w:rFonts w:ascii="Arial"/>
        </w:rPr>
        <w:t>D</w:t>
      </w:r>
      <w:proofErr w:type="spellEnd"/>
      <w:proofErr w:type="gramEnd"/>
      <w:r>
        <w:rPr>
          <w:rFonts w:ascii="Arial"/>
        </w:rPr>
        <w:t>, Faculty of Pharmacy, Comenius University, Bratislava</w:t>
      </w:r>
      <w:r>
        <w:rPr>
          <w:rFonts w:ascii="Arial"/>
        </w:rPr>
        <w:t xml:space="preserve"> </w:t>
      </w:r>
      <w:r>
        <w:rPr>
          <w:rFonts w:ascii="Arial"/>
        </w:rPr>
        <w:t>Slovakia</w:t>
      </w:r>
    </w:p>
    <w:p w14:paraId="40AD0E7B" w14:textId="439241B9" w:rsidR="001A5169" w:rsidRDefault="001A5169" w:rsidP="001A5169">
      <w:pPr>
        <w:pStyle w:val="Zkladntext"/>
        <w:spacing w:before="73" w:line="198" w:lineRule="exact"/>
        <w:ind w:left="100" w:right="5987"/>
        <w:rPr>
          <w:rFonts w:ascii="Arial"/>
        </w:rPr>
      </w:pPr>
      <w:r>
        <w:rPr>
          <w:rFonts w:ascii="Arial"/>
        </w:rPr>
        <w:t xml:space="preserve">Silvia Bittner </w:t>
      </w:r>
      <w:proofErr w:type="spellStart"/>
      <w:r>
        <w:rPr>
          <w:rFonts w:ascii="Arial"/>
        </w:rPr>
        <w:t>Fialova</w:t>
      </w:r>
      <w:proofErr w:type="spellEnd"/>
      <w:r>
        <w:rPr>
          <w:rFonts w:ascii="Arial"/>
        </w:rPr>
        <w:t xml:space="preserve">, </w:t>
      </w:r>
      <w:proofErr w:type="spellStart"/>
      <w:r>
        <w:rPr>
          <w:rFonts w:ascii="Arial"/>
        </w:rPr>
        <w:t>PharmDr</w:t>
      </w:r>
      <w:proofErr w:type="spellEnd"/>
      <w:r>
        <w:rPr>
          <w:rFonts w:ascii="Arial"/>
        </w:rPr>
        <w:t xml:space="preserve"> </w:t>
      </w:r>
      <w:proofErr w:type="spellStart"/>
      <w:proofErr w:type="gramStart"/>
      <w:r>
        <w:rPr>
          <w:rFonts w:ascii="Arial"/>
        </w:rPr>
        <w:t>Ph</w:t>
      </w:r>
      <w:r>
        <w:rPr>
          <w:rFonts w:ascii="Arial"/>
        </w:rPr>
        <w:t>.</w:t>
      </w:r>
      <w:r>
        <w:rPr>
          <w:rFonts w:ascii="Arial"/>
        </w:rPr>
        <w:t>D</w:t>
      </w:r>
      <w:proofErr w:type="spellEnd"/>
      <w:proofErr w:type="gramEnd"/>
      <w:r>
        <w:rPr>
          <w:rFonts w:ascii="Arial"/>
        </w:rPr>
        <w:t>, Faculty of Pharmacy, Comenius University, Bratislava</w:t>
      </w:r>
      <w:r>
        <w:rPr>
          <w:rFonts w:ascii="Arial"/>
        </w:rPr>
        <w:t xml:space="preserve">, </w:t>
      </w:r>
      <w:r>
        <w:rPr>
          <w:rFonts w:ascii="Arial"/>
        </w:rPr>
        <w:t>Slovakia</w:t>
      </w:r>
    </w:p>
    <w:p w14:paraId="58DF8A8C" w14:textId="529EECA5" w:rsidR="001A5169" w:rsidRDefault="001A5169" w:rsidP="001A5169">
      <w:pPr>
        <w:pStyle w:val="Zkladntext"/>
        <w:spacing w:before="73" w:line="198" w:lineRule="exact"/>
        <w:ind w:left="100" w:right="5987"/>
        <w:rPr>
          <w:rFonts w:ascii="Arial"/>
        </w:rPr>
      </w:pPr>
      <w:r>
        <w:rPr>
          <w:rFonts w:ascii="Arial"/>
        </w:rPr>
        <w:t xml:space="preserve">Milan Nagy, Prof Ing </w:t>
      </w:r>
      <w:proofErr w:type="spellStart"/>
      <w:r>
        <w:rPr>
          <w:rFonts w:ascii="Arial"/>
        </w:rPr>
        <w:t>CSc</w:t>
      </w:r>
      <w:proofErr w:type="spellEnd"/>
      <w:r>
        <w:rPr>
          <w:rFonts w:ascii="Arial"/>
        </w:rPr>
        <w:t>,</w:t>
      </w:r>
      <w:r w:rsidRPr="0065710C">
        <w:rPr>
          <w:rFonts w:ascii="Arial"/>
        </w:rPr>
        <w:t xml:space="preserve"> </w:t>
      </w:r>
      <w:r>
        <w:rPr>
          <w:rFonts w:ascii="Arial"/>
        </w:rPr>
        <w:t>Faculty of Pharmacy, Comenius University, Bratislava</w:t>
      </w:r>
      <w:r>
        <w:rPr>
          <w:rFonts w:ascii="Arial"/>
        </w:rPr>
        <w:t xml:space="preserve">, </w:t>
      </w:r>
      <w:r>
        <w:rPr>
          <w:rFonts w:ascii="Arial"/>
        </w:rPr>
        <w:t>Slovakia</w:t>
      </w:r>
    </w:p>
    <w:p w14:paraId="083E53CD" w14:textId="77777777" w:rsidR="00AE3E37" w:rsidRDefault="00AE3E37">
      <w:pPr>
        <w:pStyle w:val="Zkladntext"/>
        <w:rPr>
          <w:rFonts w:ascii="Arial"/>
          <w:sz w:val="20"/>
        </w:rPr>
      </w:pPr>
    </w:p>
    <w:p w14:paraId="5A21A5E7"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57E6853B" w14:textId="3C82DFE6" w:rsidR="00AE3E37" w:rsidRDefault="00A9710C">
      <w:pPr>
        <w:pStyle w:val="Nadpis3"/>
        <w:spacing w:before="147"/>
        <w:jc w:val="both"/>
      </w:pPr>
      <w:r>
        <w:rPr>
          <w:color w:val="BF5A14"/>
        </w:rPr>
        <w:t>Abstract</w:t>
      </w:r>
      <w:r w:rsidR="00404E5B">
        <w:rPr>
          <w:color w:val="BF5A14"/>
        </w:rPr>
        <w:t xml:space="preserve"> </w:t>
      </w:r>
    </w:p>
    <w:p w14:paraId="43D9A92C" w14:textId="4EB4AE87" w:rsidR="0040056E" w:rsidRDefault="0040056E" w:rsidP="00225F39">
      <w:pPr>
        <w:pStyle w:val="Zkladntext"/>
        <w:spacing w:before="90" w:line="280" w:lineRule="auto"/>
        <w:ind w:left="100"/>
        <w:jc w:val="both"/>
      </w:pPr>
      <w:r w:rsidRPr="0040056E">
        <w:t xml:space="preserve">Statement of the Problem: </w:t>
      </w:r>
      <w:r w:rsidRPr="00E7034A">
        <w:rPr>
          <w:i/>
          <w:iCs/>
        </w:rPr>
        <w:t xml:space="preserve">Agrimonia </w:t>
      </w:r>
      <w:proofErr w:type="spellStart"/>
      <w:r w:rsidRPr="00E7034A">
        <w:rPr>
          <w:i/>
          <w:iCs/>
        </w:rPr>
        <w:t>eupatoria</w:t>
      </w:r>
      <w:proofErr w:type="spellEnd"/>
      <w:r w:rsidRPr="0040056E">
        <w:t xml:space="preserve"> L. (Rosaceae) is an herb widely used in traditional medicine for its beneficial effects. Agrimony belongs to one of the most famous middle-European medicinal plants. The aerial part of agrimony is a rich source of tannins, organic acids, and flavonoids. </w:t>
      </w:r>
      <w:r w:rsidR="00DA09BD">
        <w:t>T</w:t>
      </w:r>
      <w:r w:rsidRPr="0040056E">
        <w:t>his herbal remedy is recommended for the symptomatic relief of mild inflammation of the mouth and throat, symptomatic</w:t>
      </w:r>
      <w:r w:rsidR="00C228E6">
        <w:t xml:space="preserve">       </w:t>
      </w:r>
      <w:r w:rsidRPr="0040056E">
        <w:t xml:space="preserve"> treatment of mild diarrhea, and for relief of minor skin inflammation and small, superficial wounds.  [1]. Antimicrobial, anti-glucosidase, anti-glycation, and anti-hyperglycemic activities were previously described for agrimony [</w:t>
      </w:r>
      <w:r w:rsidR="00007EAC">
        <w:t>2</w:t>
      </w:r>
      <w:r w:rsidRPr="0040056E">
        <w:t>,</w:t>
      </w:r>
      <w:r w:rsidR="00007EAC">
        <w:t>3</w:t>
      </w:r>
      <w:r w:rsidRPr="0040056E">
        <w:t xml:space="preserve">]. Moreover, experiments on isolated aortas showed improved vasodilatation in diabetic rats. </w:t>
      </w:r>
      <w:r w:rsidRPr="00007EAC">
        <w:rPr>
          <w:i/>
          <w:iCs/>
        </w:rPr>
        <w:t>In vivo</w:t>
      </w:r>
      <w:r w:rsidRPr="0040056E">
        <w:t xml:space="preserve"> study [</w:t>
      </w:r>
      <w:r w:rsidR="00007EAC">
        <w:t>4</w:t>
      </w:r>
      <w:r w:rsidRPr="0040056E">
        <w:t>] revealed wound healing-promoting effects, which led us to extend the evaluation to fibroblasts and keratinocytes and open and sutured wounds in rats [</w:t>
      </w:r>
      <w:r w:rsidR="00007EAC">
        <w:t>5</w:t>
      </w:r>
      <w:r w:rsidRPr="0040056E">
        <w:t xml:space="preserve">]. The purpose of this study was to prepare different extracts of </w:t>
      </w:r>
      <w:r w:rsidR="00E7034A">
        <w:t>a</w:t>
      </w:r>
      <w:r w:rsidRPr="0040056E">
        <w:t xml:space="preserve">grimony and, after HPLC characterization and identification of phenolic compounds, prepare different </w:t>
      </w:r>
      <w:r w:rsidRPr="00CE3434">
        <w:t>topic</w:t>
      </w:r>
      <w:r w:rsidR="00CE3434" w:rsidRPr="00CE3434">
        <w:t>al</w:t>
      </w:r>
      <w:r w:rsidRPr="00CE3434">
        <w:t xml:space="preserve"> preparations </w:t>
      </w:r>
      <w:r w:rsidRPr="0040056E">
        <w:t xml:space="preserve">(gels) for wound treatment. Methodology &amp; Theoretical Orientation: </w:t>
      </w:r>
      <w:r w:rsidR="00007EAC" w:rsidRPr="0040056E">
        <w:t>water</w:t>
      </w:r>
      <w:r w:rsidR="00007EAC">
        <w:t xml:space="preserve"> and</w:t>
      </w:r>
      <w:r w:rsidR="00007EAC" w:rsidRPr="0040056E">
        <w:t xml:space="preserve"> 50% methanol</w:t>
      </w:r>
      <w:r w:rsidR="00007EAC" w:rsidRPr="0040056E">
        <w:t xml:space="preserve"> </w:t>
      </w:r>
      <w:r w:rsidRPr="0040056E">
        <w:t xml:space="preserve">extracts of </w:t>
      </w:r>
      <w:r w:rsidR="00E7034A">
        <w:t>a</w:t>
      </w:r>
      <w:r w:rsidRPr="0040056E">
        <w:t>grimony were prepared and lyophilized, followed by HPLC characterization and phenolic compounds identification. Determination of phenolic compounds and flavonoids was carried out</w:t>
      </w:r>
      <w:r w:rsidR="00007EAC">
        <w:t xml:space="preserve">, </w:t>
      </w:r>
      <w:r w:rsidR="00007EAC" w:rsidRPr="00CE3434">
        <w:t xml:space="preserve">and </w:t>
      </w:r>
      <w:r w:rsidRPr="00CE3434">
        <w:t>topic</w:t>
      </w:r>
      <w:r w:rsidR="00CE3434" w:rsidRPr="00CE3434">
        <w:t>al</w:t>
      </w:r>
      <w:r w:rsidRPr="00CE3434">
        <w:t xml:space="preserve"> </w:t>
      </w:r>
      <w:r w:rsidRPr="0040056E">
        <w:t xml:space="preserve">pharmaceutical preparations for wound treatment were prepared. Findings: different phenolics were identified by HPLC. The Content of total polyphenols, tannins, and flavonoids was determined according to European Pharmacopoeia. Gels with </w:t>
      </w:r>
      <w:r w:rsidR="0034461D">
        <w:t>a</w:t>
      </w:r>
      <w:r w:rsidRPr="0040056E">
        <w:t xml:space="preserve">grimony extracts for </w:t>
      </w:r>
      <w:r w:rsidRPr="00CE3434">
        <w:t xml:space="preserve">topical application </w:t>
      </w:r>
      <w:r w:rsidRPr="0040056E">
        <w:t>were prepared. Animal experiments with gel applications are planned. Conclusion &amp; Significance: The reported and obtained data showed that extract could help improve the healing of acute skin wounds.</w:t>
      </w:r>
    </w:p>
    <w:p w14:paraId="50A2494C" w14:textId="4F6933B6" w:rsidR="00007EAC" w:rsidRDefault="00007EAC" w:rsidP="00225F39">
      <w:pPr>
        <w:pStyle w:val="Zkladntext"/>
        <w:spacing w:before="90" w:line="280" w:lineRule="auto"/>
        <w:ind w:left="100"/>
        <w:jc w:val="both"/>
      </w:pPr>
      <w:proofErr w:type="spellStart"/>
      <w:r w:rsidRPr="00007EAC">
        <w:rPr>
          <w:lang w:val="sk-SK"/>
        </w:rPr>
        <w:t>This</w:t>
      </w:r>
      <w:proofErr w:type="spellEnd"/>
      <w:r w:rsidRPr="00007EAC">
        <w:rPr>
          <w:lang w:val="sk-SK"/>
        </w:rPr>
        <w:t xml:space="preserve"> </w:t>
      </w:r>
      <w:proofErr w:type="spellStart"/>
      <w:r w:rsidRPr="00007EAC">
        <w:rPr>
          <w:lang w:val="sk-SK"/>
        </w:rPr>
        <w:t>work</w:t>
      </w:r>
      <w:proofErr w:type="spellEnd"/>
      <w:r w:rsidRPr="00007EAC">
        <w:rPr>
          <w:lang w:val="sk-SK"/>
        </w:rPr>
        <w:t xml:space="preserve"> </w:t>
      </w:r>
      <w:proofErr w:type="spellStart"/>
      <w:r w:rsidRPr="00007EAC">
        <w:rPr>
          <w:lang w:val="sk-SK"/>
        </w:rPr>
        <w:t>was</w:t>
      </w:r>
      <w:proofErr w:type="spellEnd"/>
      <w:r w:rsidRPr="00007EAC">
        <w:rPr>
          <w:lang w:val="sk-SK"/>
        </w:rPr>
        <w:t xml:space="preserve"> </w:t>
      </w:r>
      <w:proofErr w:type="spellStart"/>
      <w:r w:rsidRPr="00007EAC">
        <w:rPr>
          <w:lang w:val="sk-SK"/>
        </w:rPr>
        <w:t>supported</w:t>
      </w:r>
      <w:proofErr w:type="spellEnd"/>
      <w:r w:rsidRPr="00007EAC">
        <w:rPr>
          <w:lang w:val="sk-SK"/>
        </w:rPr>
        <w:t xml:space="preserve"> by </w:t>
      </w:r>
      <w:proofErr w:type="spellStart"/>
      <w:r w:rsidRPr="00007EAC">
        <w:rPr>
          <w:lang w:val="sk-SK"/>
        </w:rPr>
        <w:t>the</w:t>
      </w:r>
      <w:proofErr w:type="spellEnd"/>
      <w:r w:rsidRPr="00007EAC">
        <w:rPr>
          <w:lang w:val="sk-SK"/>
        </w:rPr>
        <w:t xml:space="preserve"> Grant </w:t>
      </w:r>
      <w:proofErr w:type="spellStart"/>
      <w:r w:rsidRPr="00007EAC">
        <w:rPr>
          <w:lang w:val="sk-SK"/>
        </w:rPr>
        <w:t>Agency</w:t>
      </w:r>
      <w:proofErr w:type="spellEnd"/>
      <w:r w:rsidRPr="00007EAC">
        <w:rPr>
          <w:lang w:val="sk-SK"/>
        </w:rPr>
        <w:t xml:space="preserve"> of </w:t>
      </w:r>
      <w:proofErr w:type="spellStart"/>
      <w:r w:rsidRPr="00007EAC">
        <w:rPr>
          <w:lang w:val="sk-SK"/>
        </w:rPr>
        <w:t>The</w:t>
      </w:r>
      <w:proofErr w:type="spellEnd"/>
      <w:r w:rsidRPr="00007EAC">
        <w:rPr>
          <w:lang w:val="sk-SK"/>
        </w:rPr>
        <w:t xml:space="preserve"> </w:t>
      </w:r>
      <w:proofErr w:type="spellStart"/>
      <w:r w:rsidRPr="00007EAC">
        <w:rPr>
          <w:lang w:val="sk-SK"/>
        </w:rPr>
        <w:t>Ministry</w:t>
      </w:r>
      <w:proofErr w:type="spellEnd"/>
      <w:r w:rsidRPr="00007EAC">
        <w:rPr>
          <w:lang w:val="sk-SK"/>
        </w:rPr>
        <w:t xml:space="preserve"> of </w:t>
      </w:r>
      <w:proofErr w:type="spellStart"/>
      <w:r w:rsidRPr="00007EAC">
        <w:rPr>
          <w:lang w:val="sk-SK"/>
        </w:rPr>
        <w:t>Education</w:t>
      </w:r>
      <w:proofErr w:type="spellEnd"/>
      <w:r w:rsidRPr="00007EAC">
        <w:rPr>
          <w:lang w:val="sk-SK"/>
        </w:rPr>
        <w:t xml:space="preserve">, </w:t>
      </w:r>
      <w:proofErr w:type="spellStart"/>
      <w:r w:rsidRPr="00007EAC">
        <w:rPr>
          <w:lang w:val="sk-SK"/>
        </w:rPr>
        <w:t>Science</w:t>
      </w:r>
      <w:proofErr w:type="spellEnd"/>
      <w:r w:rsidRPr="00007EAC">
        <w:rPr>
          <w:lang w:val="sk-SK"/>
        </w:rPr>
        <w:t xml:space="preserve">, </w:t>
      </w:r>
      <w:proofErr w:type="spellStart"/>
      <w:r w:rsidRPr="00007EAC">
        <w:rPr>
          <w:lang w:val="sk-SK"/>
        </w:rPr>
        <w:t>Research</w:t>
      </w:r>
      <w:proofErr w:type="spellEnd"/>
      <w:r w:rsidRPr="00007EAC">
        <w:rPr>
          <w:lang w:val="sk-SK"/>
        </w:rPr>
        <w:t xml:space="preserve">, and </w:t>
      </w:r>
      <w:proofErr w:type="spellStart"/>
      <w:r w:rsidRPr="00007EAC">
        <w:rPr>
          <w:lang w:val="sk-SK"/>
        </w:rPr>
        <w:t>Sport</w:t>
      </w:r>
      <w:proofErr w:type="spellEnd"/>
      <w:r w:rsidRPr="00007EAC">
        <w:rPr>
          <w:lang w:val="sk-SK"/>
        </w:rPr>
        <w:t xml:space="preserve"> of Slovakia (</w:t>
      </w:r>
      <w:proofErr w:type="spellStart"/>
      <w:r w:rsidRPr="00007EAC">
        <w:rPr>
          <w:lang w:val="sk-SK"/>
        </w:rPr>
        <w:t>grants</w:t>
      </w:r>
      <w:proofErr w:type="spellEnd"/>
      <w:r w:rsidRPr="00007EAC">
        <w:rPr>
          <w:lang w:val="sk-SK"/>
        </w:rPr>
        <w:t xml:space="preserve"> no. VEGA 1/0284/20 and VEGA 1/0226/22).</w:t>
      </w:r>
    </w:p>
    <w:p w14:paraId="185735A6" w14:textId="12425815" w:rsidR="00AE3E37" w:rsidRDefault="00A9710C" w:rsidP="00C228E6">
      <w:pPr>
        <w:pStyle w:val="Nadpis3"/>
        <w:spacing w:before="74"/>
        <w:ind w:left="0"/>
        <w:rPr>
          <w:color w:val="BF5A14"/>
        </w:rPr>
      </w:pPr>
      <w:r>
        <w:rPr>
          <w:b w:val="0"/>
        </w:rPr>
        <w:br w:type="column"/>
      </w:r>
      <w:r w:rsidR="00C228E6">
        <w:rPr>
          <w:b w:val="0"/>
        </w:rPr>
        <w:t xml:space="preserve"> </w:t>
      </w:r>
      <w:r>
        <w:rPr>
          <w:color w:val="BF5A14"/>
        </w:rPr>
        <w:t>Image</w:t>
      </w:r>
    </w:p>
    <w:p w14:paraId="07B0B781" w14:textId="4C19A1AC" w:rsidR="00C228E6" w:rsidRDefault="00C228E6" w:rsidP="00C228E6">
      <w:pPr>
        <w:pStyle w:val="Nadpis3"/>
        <w:spacing w:before="74"/>
        <w:ind w:left="0"/>
        <w:rPr>
          <w:color w:val="BF5A14"/>
        </w:rPr>
      </w:pPr>
      <w:r>
        <w:rPr>
          <w:color w:val="BF5A14"/>
        </w:rPr>
        <w:t xml:space="preserve">  </w:t>
      </w:r>
      <w:r w:rsidR="003051CA">
        <w:rPr>
          <w:noProof/>
          <w:color w:val="BF5A14"/>
        </w:rPr>
        <w:drawing>
          <wp:inline distT="0" distB="0" distL="0" distR="0" wp14:anchorId="2D71D05D" wp14:editId="11A39862">
            <wp:extent cx="3237230" cy="1609725"/>
            <wp:effectExtent l="0" t="0" r="1270" b="9525"/>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7230" cy="1609725"/>
                    </a:xfrm>
                    <a:prstGeom prst="rect">
                      <a:avLst/>
                    </a:prstGeom>
                    <a:noFill/>
                  </pic:spPr>
                </pic:pic>
              </a:graphicData>
            </a:graphic>
          </wp:inline>
        </w:drawing>
      </w:r>
    </w:p>
    <w:p w14:paraId="430994A1" w14:textId="62D4EDA7" w:rsidR="00C228E6" w:rsidRDefault="00C228E6">
      <w:pPr>
        <w:pStyle w:val="Nadpis3"/>
        <w:spacing w:before="74"/>
      </w:pPr>
    </w:p>
    <w:p w14:paraId="1795934D" w14:textId="24308AB1" w:rsidR="005973B9" w:rsidRPr="003D5CA2" w:rsidRDefault="00C228E6" w:rsidP="003D5CA2">
      <w:pPr>
        <w:pStyle w:val="Zkladntext"/>
        <w:spacing w:before="2"/>
        <w:rPr>
          <w:rFonts w:ascii="Arial"/>
          <w:b/>
          <w:sz w:val="16"/>
        </w:rPr>
      </w:pPr>
      <w:r>
        <w:rPr>
          <w:rFonts w:ascii="Arial"/>
          <w:b/>
          <w:sz w:val="16"/>
        </w:rPr>
        <w:t xml:space="preserve">  </w:t>
      </w:r>
      <w:r w:rsidR="005973B9">
        <w:rPr>
          <w:rFonts w:ascii="Arial"/>
          <w:b/>
          <w:color w:val="BF5A14"/>
          <w:sz w:val="20"/>
        </w:rPr>
        <w:t xml:space="preserve">Recent Publications </w:t>
      </w:r>
    </w:p>
    <w:p w14:paraId="7A46EABD" w14:textId="56C2186A" w:rsidR="002B3157" w:rsidRPr="007347DB" w:rsidRDefault="002B3157" w:rsidP="005973B9">
      <w:pPr>
        <w:pStyle w:val="Odsekzoznamu"/>
        <w:numPr>
          <w:ilvl w:val="0"/>
          <w:numId w:val="3"/>
        </w:numPr>
        <w:tabs>
          <w:tab w:val="left" w:pos="384"/>
        </w:tabs>
        <w:spacing w:line="216" w:lineRule="exact"/>
        <w:ind w:right="137" w:hanging="283"/>
        <w:rPr>
          <w:rFonts w:asciiTheme="minorHAnsi" w:hAnsiTheme="minorHAnsi" w:cstheme="minorHAnsi"/>
          <w:sz w:val="18"/>
        </w:rPr>
      </w:pPr>
      <w:r w:rsidRPr="007347DB">
        <w:rPr>
          <w:rFonts w:asciiTheme="minorHAnsi" w:hAnsiTheme="minorHAnsi" w:cstheme="minorHAnsi"/>
          <w:sz w:val="18"/>
          <w:lang w:val="it-IT"/>
        </w:rPr>
        <w:t>EMA, Assessment report on Agrimonia eupatoria L., herba (https://www.ema.europa.eu/en/medicines/herbal/agrimoniae-herba)</w:t>
      </w:r>
      <w:r w:rsidR="00B97B36" w:rsidRPr="007347DB">
        <w:rPr>
          <w:rFonts w:asciiTheme="minorHAnsi" w:hAnsiTheme="minorHAnsi" w:cstheme="minorHAnsi"/>
          <w:sz w:val="18"/>
          <w:lang w:val="it-IT"/>
        </w:rPr>
        <w:t>.</w:t>
      </w:r>
      <w:r w:rsidRPr="007347DB">
        <w:rPr>
          <w:rFonts w:asciiTheme="minorHAnsi" w:hAnsiTheme="minorHAnsi" w:cstheme="minorHAnsi"/>
          <w:sz w:val="18"/>
          <w:lang w:val="it-IT"/>
        </w:rPr>
        <w:t xml:space="preserve"> </w:t>
      </w:r>
    </w:p>
    <w:p w14:paraId="542C4A9D" w14:textId="282B64E4" w:rsidR="00F73C68" w:rsidRPr="007347DB" w:rsidRDefault="00B97B36" w:rsidP="005973B9">
      <w:pPr>
        <w:pStyle w:val="Odsekzoznamu"/>
        <w:numPr>
          <w:ilvl w:val="0"/>
          <w:numId w:val="3"/>
        </w:numPr>
        <w:tabs>
          <w:tab w:val="left" w:pos="384"/>
        </w:tabs>
        <w:spacing w:line="216" w:lineRule="exact"/>
        <w:ind w:right="137" w:hanging="283"/>
        <w:rPr>
          <w:rFonts w:asciiTheme="minorHAnsi" w:hAnsiTheme="minorHAnsi" w:cstheme="minorHAnsi"/>
          <w:sz w:val="18"/>
        </w:rPr>
      </w:pPr>
      <w:r w:rsidRPr="007347DB">
        <w:rPr>
          <w:rFonts w:asciiTheme="minorHAnsi" w:hAnsiTheme="minorHAnsi" w:cstheme="minorHAnsi"/>
          <w:sz w:val="18"/>
        </w:rPr>
        <w:t xml:space="preserve">Mucaji P, </w:t>
      </w:r>
      <w:proofErr w:type="spellStart"/>
      <w:r w:rsidRPr="007347DB">
        <w:rPr>
          <w:rFonts w:asciiTheme="minorHAnsi" w:hAnsiTheme="minorHAnsi" w:cstheme="minorHAnsi"/>
          <w:sz w:val="18"/>
        </w:rPr>
        <w:t>Slobodníkova</w:t>
      </w:r>
      <w:proofErr w:type="spellEnd"/>
      <w:r w:rsidRPr="007347DB">
        <w:rPr>
          <w:rFonts w:asciiTheme="minorHAnsi" w:hAnsiTheme="minorHAnsi" w:cstheme="minorHAnsi"/>
          <w:sz w:val="18"/>
        </w:rPr>
        <w:t xml:space="preserve"> L et al (2022) </w:t>
      </w:r>
      <w:proofErr w:type="spellStart"/>
      <w:r w:rsidRPr="007347DB">
        <w:rPr>
          <w:rFonts w:asciiTheme="minorHAnsi" w:hAnsiTheme="minorHAnsi" w:cstheme="minorHAnsi"/>
          <w:sz w:val="18"/>
        </w:rPr>
        <w:t>Antimikróbna</w:t>
      </w:r>
      <w:proofErr w:type="spellEnd"/>
      <w:r w:rsidRPr="007347DB">
        <w:rPr>
          <w:rFonts w:asciiTheme="minorHAnsi" w:hAnsiTheme="minorHAnsi" w:cstheme="minorHAnsi"/>
          <w:sz w:val="18"/>
        </w:rPr>
        <w:t xml:space="preserve"> </w:t>
      </w:r>
      <w:proofErr w:type="spellStart"/>
      <w:r w:rsidRPr="007347DB">
        <w:rPr>
          <w:rFonts w:asciiTheme="minorHAnsi" w:hAnsiTheme="minorHAnsi" w:cstheme="minorHAnsi"/>
          <w:sz w:val="18"/>
        </w:rPr>
        <w:t>aktivita</w:t>
      </w:r>
      <w:proofErr w:type="spellEnd"/>
      <w:r w:rsidRPr="007347DB">
        <w:rPr>
          <w:rFonts w:asciiTheme="minorHAnsi" w:hAnsiTheme="minorHAnsi" w:cstheme="minorHAnsi"/>
          <w:sz w:val="18"/>
        </w:rPr>
        <w:t xml:space="preserve"> </w:t>
      </w:r>
      <w:proofErr w:type="gramStart"/>
      <w:r w:rsidRPr="007347DB">
        <w:rPr>
          <w:rFonts w:asciiTheme="minorHAnsi" w:hAnsiTheme="minorHAnsi" w:cstheme="minorHAnsi"/>
          <w:sz w:val="18"/>
        </w:rPr>
        <w:t>a</w:t>
      </w:r>
      <w:proofErr w:type="gramEnd"/>
      <w:r w:rsidRPr="007347DB">
        <w:rPr>
          <w:rFonts w:asciiTheme="minorHAnsi" w:hAnsiTheme="minorHAnsi" w:cstheme="minorHAnsi"/>
          <w:sz w:val="18"/>
        </w:rPr>
        <w:t xml:space="preserve"> </w:t>
      </w:r>
      <w:proofErr w:type="spellStart"/>
      <w:r w:rsidRPr="007347DB">
        <w:rPr>
          <w:rFonts w:asciiTheme="minorHAnsi" w:hAnsiTheme="minorHAnsi" w:cstheme="minorHAnsi"/>
          <w:sz w:val="18"/>
        </w:rPr>
        <w:t>obsah</w:t>
      </w:r>
      <w:proofErr w:type="spellEnd"/>
      <w:r w:rsidRPr="007347DB">
        <w:rPr>
          <w:rFonts w:asciiTheme="minorHAnsi" w:hAnsiTheme="minorHAnsi" w:cstheme="minorHAnsi"/>
          <w:sz w:val="18"/>
        </w:rPr>
        <w:t xml:space="preserve"> </w:t>
      </w:r>
      <w:proofErr w:type="spellStart"/>
      <w:r w:rsidRPr="007347DB">
        <w:rPr>
          <w:rFonts w:asciiTheme="minorHAnsi" w:hAnsiTheme="minorHAnsi" w:cstheme="minorHAnsi"/>
          <w:sz w:val="18"/>
        </w:rPr>
        <w:t>sekundárnych</w:t>
      </w:r>
      <w:proofErr w:type="spellEnd"/>
      <w:r w:rsidRPr="007347DB">
        <w:rPr>
          <w:rFonts w:asciiTheme="minorHAnsi" w:hAnsiTheme="minorHAnsi" w:cstheme="minorHAnsi"/>
          <w:sz w:val="18"/>
        </w:rPr>
        <w:t xml:space="preserve"> </w:t>
      </w:r>
      <w:proofErr w:type="spellStart"/>
      <w:r w:rsidRPr="007347DB">
        <w:rPr>
          <w:rFonts w:asciiTheme="minorHAnsi" w:hAnsiTheme="minorHAnsi" w:cstheme="minorHAnsi"/>
          <w:sz w:val="18"/>
        </w:rPr>
        <w:t>metabolitov</w:t>
      </w:r>
      <w:proofErr w:type="spellEnd"/>
      <w:r w:rsidRPr="007347DB">
        <w:rPr>
          <w:rFonts w:asciiTheme="minorHAnsi" w:hAnsiTheme="minorHAnsi" w:cstheme="minorHAnsi"/>
          <w:sz w:val="18"/>
        </w:rPr>
        <w:t xml:space="preserve"> </w:t>
      </w:r>
      <w:proofErr w:type="spellStart"/>
      <w:r w:rsidRPr="007347DB">
        <w:rPr>
          <w:rFonts w:asciiTheme="minorHAnsi" w:hAnsiTheme="minorHAnsi" w:cstheme="minorHAnsi"/>
          <w:sz w:val="18"/>
        </w:rPr>
        <w:t>repíka</w:t>
      </w:r>
      <w:proofErr w:type="spellEnd"/>
      <w:r w:rsidRPr="007347DB">
        <w:rPr>
          <w:rFonts w:asciiTheme="minorHAnsi" w:hAnsiTheme="minorHAnsi" w:cstheme="minorHAnsi"/>
          <w:sz w:val="18"/>
        </w:rPr>
        <w:t xml:space="preserve"> </w:t>
      </w:r>
      <w:proofErr w:type="spellStart"/>
      <w:r w:rsidRPr="007347DB">
        <w:rPr>
          <w:rFonts w:asciiTheme="minorHAnsi" w:hAnsiTheme="minorHAnsi" w:cstheme="minorHAnsi"/>
          <w:sz w:val="18"/>
        </w:rPr>
        <w:t>lekárskeho</w:t>
      </w:r>
      <w:proofErr w:type="spellEnd"/>
      <w:r w:rsidRPr="007347DB">
        <w:rPr>
          <w:rFonts w:asciiTheme="minorHAnsi" w:hAnsiTheme="minorHAnsi" w:cstheme="minorHAnsi"/>
          <w:sz w:val="18"/>
        </w:rPr>
        <w:t xml:space="preserve">. XII. </w:t>
      </w:r>
      <w:proofErr w:type="spellStart"/>
      <w:r w:rsidRPr="007347DB">
        <w:rPr>
          <w:rFonts w:asciiTheme="minorHAnsi" w:hAnsiTheme="minorHAnsi" w:cstheme="minorHAnsi"/>
          <w:sz w:val="18"/>
        </w:rPr>
        <w:t>Podlahovy</w:t>
      </w:r>
      <w:proofErr w:type="spellEnd"/>
      <w:r w:rsidRPr="007347DB">
        <w:rPr>
          <w:rFonts w:asciiTheme="minorHAnsi" w:hAnsiTheme="minorHAnsi" w:cstheme="minorHAnsi"/>
          <w:sz w:val="18"/>
        </w:rPr>
        <w:t xml:space="preserve"> </w:t>
      </w:r>
      <w:proofErr w:type="spellStart"/>
      <w:r w:rsidRPr="007347DB">
        <w:rPr>
          <w:rFonts w:asciiTheme="minorHAnsi" w:hAnsiTheme="minorHAnsi" w:cstheme="minorHAnsi"/>
          <w:sz w:val="18"/>
        </w:rPr>
        <w:t>chirurgické</w:t>
      </w:r>
      <w:proofErr w:type="spellEnd"/>
      <w:r w:rsidRPr="007347DB">
        <w:rPr>
          <w:rFonts w:asciiTheme="minorHAnsi" w:hAnsiTheme="minorHAnsi" w:cstheme="minorHAnsi"/>
          <w:sz w:val="18"/>
        </w:rPr>
        <w:t xml:space="preserve"> </w:t>
      </w:r>
      <w:proofErr w:type="spellStart"/>
      <w:r w:rsidRPr="007347DB">
        <w:rPr>
          <w:rFonts w:asciiTheme="minorHAnsi" w:hAnsiTheme="minorHAnsi" w:cstheme="minorHAnsi"/>
          <w:sz w:val="18"/>
        </w:rPr>
        <w:t>dny</w:t>
      </w:r>
      <w:proofErr w:type="spellEnd"/>
      <w:r w:rsidRPr="007347DB">
        <w:rPr>
          <w:rFonts w:asciiTheme="minorHAnsi" w:hAnsiTheme="minorHAnsi" w:cstheme="minorHAnsi"/>
          <w:sz w:val="18"/>
        </w:rPr>
        <w:t xml:space="preserve"> a XIII. </w:t>
      </w:r>
      <w:proofErr w:type="spellStart"/>
      <w:r w:rsidRPr="007347DB">
        <w:rPr>
          <w:rFonts w:asciiTheme="minorHAnsi" w:hAnsiTheme="minorHAnsi" w:cstheme="minorHAnsi"/>
          <w:sz w:val="18"/>
        </w:rPr>
        <w:t>Interaktivní</w:t>
      </w:r>
      <w:proofErr w:type="spellEnd"/>
      <w:r w:rsidRPr="007347DB">
        <w:rPr>
          <w:rFonts w:asciiTheme="minorHAnsi" w:hAnsiTheme="minorHAnsi" w:cstheme="minorHAnsi"/>
          <w:sz w:val="18"/>
        </w:rPr>
        <w:t xml:space="preserve"> symposium </w:t>
      </w:r>
      <w:proofErr w:type="spellStart"/>
      <w:r w:rsidRPr="007347DB">
        <w:rPr>
          <w:rFonts w:asciiTheme="minorHAnsi" w:hAnsiTheme="minorHAnsi" w:cstheme="minorHAnsi"/>
          <w:sz w:val="18"/>
        </w:rPr>
        <w:t>hojení</w:t>
      </w:r>
      <w:proofErr w:type="spellEnd"/>
      <w:r w:rsidRPr="007347DB">
        <w:rPr>
          <w:rFonts w:asciiTheme="minorHAnsi" w:hAnsiTheme="minorHAnsi" w:cstheme="minorHAnsi"/>
          <w:sz w:val="18"/>
        </w:rPr>
        <w:t xml:space="preserve"> ran </w:t>
      </w:r>
    </w:p>
    <w:p w14:paraId="65F9E4FC" w14:textId="12D40C95" w:rsidR="007B277B" w:rsidRPr="007347DB" w:rsidRDefault="00F73C68" w:rsidP="00F73C68">
      <w:pPr>
        <w:tabs>
          <w:tab w:val="left" w:pos="384"/>
        </w:tabs>
        <w:spacing w:line="216" w:lineRule="exact"/>
        <w:ind w:left="100" w:right="137"/>
        <w:rPr>
          <w:rFonts w:asciiTheme="minorHAnsi" w:hAnsiTheme="minorHAnsi" w:cstheme="minorHAnsi"/>
          <w:sz w:val="18"/>
        </w:rPr>
      </w:pPr>
      <w:r w:rsidRPr="007347DB">
        <w:rPr>
          <w:rFonts w:asciiTheme="minorHAnsi" w:hAnsiTheme="minorHAnsi" w:cstheme="minorHAnsi"/>
          <w:sz w:val="18"/>
        </w:rPr>
        <w:t xml:space="preserve">      </w:t>
      </w:r>
      <w:r w:rsidR="00FC4B9D">
        <w:rPr>
          <w:rFonts w:asciiTheme="minorHAnsi" w:hAnsiTheme="minorHAnsi" w:cstheme="minorHAnsi"/>
          <w:sz w:val="18"/>
        </w:rPr>
        <w:t xml:space="preserve"> </w:t>
      </w:r>
      <w:r w:rsidR="00B97B36" w:rsidRPr="007347DB">
        <w:rPr>
          <w:rFonts w:asciiTheme="minorHAnsi" w:hAnsiTheme="minorHAnsi" w:cstheme="minorHAnsi"/>
          <w:sz w:val="18"/>
        </w:rPr>
        <w:t>ISBN 978-80-01-07053-6</w:t>
      </w:r>
      <w:r w:rsidR="005973B9" w:rsidRPr="007347DB">
        <w:rPr>
          <w:rFonts w:asciiTheme="minorHAnsi" w:hAnsiTheme="minorHAnsi" w:cstheme="minorHAnsi"/>
          <w:sz w:val="18"/>
        </w:rPr>
        <w:t>.</w:t>
      </w:r>
    </w:p>
    <w:p w14:paraId="1EA90B59" w14:textId="3F3DD545" w:rsidR="007B277B" w:rsidRPr="007347DB" w:rsidRDefault="000D27D6" w:rsidP="000D27D6">
      <w:pPr>
        <w:pStyle w:val="Odsekzoznamu"/>
        <w:numPr>
          <w:ilvl w:val="0"/>
          <w:numId w:val="3"/>
        </w:numPr>
        <w:tabs>
          <w:tab w:val="left" w:pos="384"/>
        </w:tabs>
        <w:spacing w:line="216" w:lineRule="exact"/>
        <w:ind w:right="137"/>
        <w:rPr>
          <w:rFonts w:asciiTheme="minorHAnsi" w:hAnsiTheme="minorHAnsi" w:cstheme="minorHAnsi"/>
          <w:sz w:val="18"/>
        </w:rPr>
      </w:pPr>
      <w:proofErr w:type="spellStart"/>
      <w:r w:rsidRPr="007347DB">
        <w:rPr>
          <w:rFonts w:asciiTheme="minorHAnsi" w:hAnsiTheme="minorHAnsi" w:cstheme="minorHAnsi"/>
          <w:sz w:val="18"/>
        </w:rPr>
        <w:t>Kuczmannová</w:t>
      </w:r>
      <w:proofErr w:type="spellEnd"/>
      <w:r w:rsidRPr="007347DB">
        <w:rPr>
          <w:rFonts w:asciiTheme="minorHAnsi" w:hAnsiTheme="minorHAnsi" w:cstheme="minorHAnsi"/>
          <w:sz w:val="18"/>
        </w:rPr>
        <w:t xml:space="preserve"> A, </w:t>
      </w:r>
      <w:proofErr w:type="spellStart"/>
      <w:r w:rsidRPr="007347DB">
        <w:rPr>
          <w:rFonts w:asciiTheme="minorHAnsi" w:hAnsiTheme="minorHAnsi" w:cstheme="minorHAnsi"/>
          <w:sz w:val="18"/>
        </w:rPr>
        <w:t>Gál</w:t>
      </w:r>
      <w:proofErr w:type="spellEnd"/>
      <w:r w:rsidRPr="007347DB">
        <w:rPr>
          <w:rFonts w:asciiTheme="minorHAnsi" w:hAnsiTheme="minorHAnsi" w:cstheme="minorHAnsi"/>
          <w:sz w:val="18"/>
        </w:rPr>
        <w:t xml:space="preserve"> P, </w:t>
      </w:r>
      <w:r w:rsidRPr="007347DB">
        <w:rPr>
          <w:rFonts w:asciiTheme="minorHAnsi" w:hAnsiTheme="minorHAnsi" w:cstheme="minorHAnsi"/>
          <w:sz w:val="18"/>
        </w:rPr>
        <w:t xml:space="preserve">et al (2015) </w:t>
      </w:r>
      <w:r w:rsidRPr="007347DB">
        <w:rPr>
          <w:rFonts w:asciiTheme="minorHAnsi" w:hAnsiTheme="minorHAnsi" w:cstheme="minorHAnsi"/>
          <w:sz w:val="18"/>
        </w:rPr>
        <w:t xml:space="preserve">Agrimonia </w:t>
      </w:r>
      <w:proofErr w:type="spellStart"/>
      <w:r w:rsidRPr="007347DB">
        <w:rPr>
          <w:rFonts w:asciiTheme="minorHAnsi" w:hAnsiTheme="minorHAnsi" w:cstheme="minorHAnsi"/>
          <w:sz w:val="18"/>
        </w:rPr>
        <w:t>eupatoria</w:t>
      </w:r>
      <w:proofErr w:type="spellEnd"/>
      <w:r w:rsidRPr="007347DB">
        <w:rPr>
          <w:rFonts w:asciiTheme="minorHAnsi" w:hAnsiTheme="minorHAnsi" w:cstheme="minorHAnsi"/>
          <w:sz w:val="18"/>
        </w:rPr>
        <w:t xml:space="preserve"> L. and Cynara cardunculus L. water infusions: phenolic profile and comparison of antioxidant activities. Molecules 20</w:t>
      </w:r>
      <w:r w:rsidRPr="007347DB">
        <w:rPr>
          <w:rFonts w:asciiTheme="minorHAnsi" w:hAnsiTheme="minorHAnsi" w:cstheme="minorHAnsi"/>
          <w:sz w:val="18"/>
        </w:rPr>
        <w:t xml:space="preserve"> </w:t>
      </w:r>
      <w:r w:rsidRPr="007347DB">
        <w:rPr>
          <w:rFonts w:asciiTheme="minorHAnsi" w:hAnsiTheme="minorHAnsi" w:cstheme="minorHAnsi"/>
          <w:sz w:val="18"/>
        </w:rPr>
        <w:t>(11): 20538-20550.</w:t>
      </w:r>
    </w:p>
    <w:p w14:paraId="422B91C1" w14:textId="10EC583C" w:rsidR="000D27D6" w:rsidRPr="007347DB" w:rsidRDefault="000D27D6" w:rsidP="000D27D6">
      <w:pPr>
        <w:pStyle w:val="Odsekzoznamu"/>
        <w:numPr>
          <w:ilvl w:val="0"/>
          <w:numId w:val="3"/>
        </w:numPr>
        <w:tabs>
          <w:tab w:val="left" w:pos="384"/>
        </w:tabs>
        <w:spacing w:line="216" w:lineRule="exact"/>
        <w:ind w:right="137"/>
        <w:rPr>
          <w:rFonts w:asciiTheme="minorHAnsi" w:hAnsiTheme="minorHAnsi" w:cstheme="minorHAnsi"/>
          <w:sz w:val="18"/>
        </w:rPr>
      </w:pPr>
      <w:proofErr w:type="spellStart"/>
      <w:r w:rsidRPr="007347DB">
        <w:rPr>
          <w:rFonts w:asciiTheme="minorHAnsi" w:hAnsiTheme="minorHAnsi" w:cstheme="minorHAnsi"/>
          <w:sz w:val="18"/>
        </w:rPr>
        <w:t>Kuczmannová</w:t>
      </w:r>
      <w:proofErr w:type="spellEnd"/>
      <w:r w:rsidRPr="007347DB">
        <w:rPr>
          <w:rFonts w:asciiTheme="minorHAnsi" w:hAnsiTheme="minorHAnsi" w:cstheme="minorHAnsi"/>
          <w:sz w:val="18"/>
        </w:rPr>
        <w:t xml:space="preserve"> A, </w:t>
      </w:r>
      <w:proofErr w:type="spellStart"/>
      <w:r w:rsidRPr="007347DB">
        <w:rPr>
          <w:rFonts w:asciiTheme="minorHAnsi" w:hAnsiTheme="minorHAnsi" w:cstheme="minorHAnsi"/>
          <w:sz w:val="18"/>
        </w:rPr>
        <w:t>Balažová</w:t>
      </w:r>
      <w:proofErr w:type="spellEnd"/>
      <w:r w:rsidRPr="007347DB">
        <w:rPr>
          <w:rFonts w:asciiTheme="minorHAnsi" w:hAnsiTheme="minorHAnsi" w:cstheme="minorHAnsi"/>
          <w:sz w:val="18"/>
        </w:rPr>
        <w:t xml:space="preserve"> A</w:t>
      </w:r>
      <w:r w:rsidRPr="007347DB">
        <w:rPr>
          <w:rFonts w:asciiTheme="minorHAnsi" w:hAnsiTheme="minorHAnsi" w:cstheme="minorHAnsi"/>
          <w:sz w:val="18"/>
        </w:rPr>
        <w:t xml:space="preserve"> et al (2016) </w:t>
      </w:r>
      <w:r w:rsidRPr="007347DB">
        <w:rPr>
          <w:rFonts w:asciiTheme="minorHAnsi" w:hAnsiTheme="minorHAnsi" w:cstheme="minorHAnsi"/>
          <w:sz w:val="18"/>
        </w:rPr>
        <w:t xml:space="preserve">Agrimonia </w:t>
      </w:r>
      <w:proofErr w:type="spellStart"/>
      <w:r w:rsidRPr="007347DB">
        <w:rPr>
          <w:rFonts w:asciiTheme="minorHAnsi" w:hAnsiTheme="minorHAnsi" w:cstheme="minorHAnsi"/>
          <w:sz w:val="18"/>
        </w:rPr>
        <w:t>eupatoria</w:t>
      </w:r>
      <w:proofErr w:type="spellEnd"/>
      <w:r w:rsidRPr="007347DB">
        <w:rPr>
          <w:rFonts w:asciiTheme="minorHAnsi" w:hAnsiTheme="minorHAnsi" w:cstheme="minorHAnsi"/>
          <w:sz w:val="18"/>
        </w:rPr>
        <w:t xml:space="preserve"> L. and Cynara cardunculus L. water infusions: comparison of anti-diabetic activities. Molecules 21(5): 564.</w:t>
      </w:r>
    </w:p>
    <w:p w14:paraId="440EB1B5" w14:textId="77777777" w:rsidR="003D03D5" w:rsidRPr="007347DB" w:rsidRDefault="00B97B36" w:rsidP="00C82938">
      <w:pPr>
        <w:pStyle w:val="Odsekzoznamu"/>
        <w:numPr>
          <w:ilvl w:val="0"/>
          <w:numId w:val="3"/>
        </w:numPr>
        <w:tabs>
          <w:tab w:val="left" w:pos="384"/>
        </w:tabs>
        <w:spacing w:line="216" w:lineRule="exact"/>
        <w:ind w:right="138"/>
        <w:rPr>
          <w:rFonts w:asciiTheme="minorHAnsi" w:hAnsiTheme="minorHAnsi" w:cstheme="minorHAnsi"/>
          <w:sz w:val="18"/>
        </w:rPr>
      </w:pPr>
      <w:proofErr w:type="spellStart"/>
      <w:r w:rsidRPr="007347DB">
        <w:rPr>
          <w:rFonts w:asciiTheme="minorHAnsi" w:hAnsiTheme="minorHAnsi" w:cstheme="minorHAnsi"/>
          <w:sz w:val="18"/>
        </w:rPr>
        <w:t>Vasilenko</w:t>
      </w:r>
      <w:proofErr w:type="spellEnd"/>
      <w:r w:rsidRPr="007347DB">
        <w:rPr>
          <w:rFonts w:asciiTheme="minorHAnsi" w:hAnsiTheme="minorHAnsi" w:cstheme="minorHAnsi"/>
          <w:sz w:val="18"/>
        </w:rPr>
        <w:t xml:space="preserve"> T, </w:t>
      </w:r>
      <w:proofErr w:type="spellStart"/>
      <w:r w:rsidRPr="007347DB">
        <w:rPr>
          <w:rFonts w:asciiTheme="minorHAnsi" w:hAnsiTheme="minorHAnsi" w:cstheme="minorHAnsi"/>
          <w:sz w:val="18"/>
        </w:rPr>
        <w:t>Kováč</w:t>
      </w:r>
      <w:proofErr w:type="spellEnd"/>
      <w:r w:rsidRPr="007347DB">
        <w:rPr>
          <w:rFonts w:asciiTheme="minorHAnsi" w:hAnsiTheme="minorHAnsi" w:cstheme="minorHAnsi"/>
          <w:sz w:val="18"/>
        </w:rPr>
        <w:t xml:space="preserve"> I, </w:t>
      </w:r>
      <w:r w:rsidRPr="007347DB">
        <w:rPr>
          <w:rFonts w:asciiTheme="minorHAnsi" w:hAnsiTheme="minorHAnsi" w:cstheme="minorHAnsi"/>
          <w:sz w:val="18"/>
        </w:rPr>
        <w:t xml:space="preserve">et al </w:t>
      </w:r>
      <w:r w:rsidR="003D03D5" w:rsidRPr="007347DB">
        <w:rPr>
          <w:rFonts w:asciiTheme="minorHAnsi" w:hAnsiTheme="minorHAnsi" w:cstheme="minorHAnsi"/>
          <w:sz w:val="18"/>
        </w:rPr>
        <w:t>(2022)</w:t>
      </w:r>
      <w:r w:rsidRPr="007347DB">
        <w:rPr>
          <w:rFonts w:asciiTheme="minorHAnsi" w:hAnsiTheme="minorHAnsi" w:cstheme="minorHAnsi"/>
          <w:sz w:val="18"/>
        </w:rPr>
        <w:t xml:space="preserve"> Agrimonia </w:t>
      </w:r>
      <w:proofErr w:type="spellStart"/>
      <w:r w:rsidRPr="007347DB">
        <w:rPr>
          <w:rFonts w:asciiTheme="minorHAnsi" w:hAnsiTheme="minorHAnsi" w:cstheme="minorHAnsi"/>
          <w:sz w:val="18"/>
        </w:rPr>
        <w:t>eupatoria</w:t>
      </w:r>
      <w:proofErr w:type="spellEnd"/>
      <w:r w:rsidRPr="007347DB">
        <w:rPr>
          <w:rFonts w:asciiTheme="minorHAnsi" w:hAnsiTheme="minorHAnsi" w:cstheme="minorHAnsi"/>
          <w:sz w:val="18"/>
        </w:rPr>
        <w:t xml:space="preserve"> L.</w:t>
      </w:r>
      <w:r w:rsidR="003D03D5" w:rsidRPr="007347DB">
        <w:rPr>
          <w:rFonts w:asciiTheme="minorHAnsi" w:hAnsiTheme="minorHAnsi" w:cstheme="minorHAnsi"/>
          <w:sz w:val="18"/>
        </w:rPr>
        <w:t xml:space="preserve"> </w:t>
      </w:r>
      <w:r w:rsidRPr="007347DB">
        <w:rPr>
          <w:rFonts w:asciiTheme="minorHAnsi" w:hAnsiTheme="minorHAnsi" w:cstheme="minorHAnsi"/>
          <w:sz w:val="18"/>
        </w:rPr>
        <w:t>Aqueous Extract Improves Skin Wound Healing: An In Vitro Study in Fibroblasts and</w:t>
      </w:r>
      <w:r w:rsidR="003D03D5" w:rsidRPr="007347DB">
        <w:rPr>
          <w:rFonts w:asciiTheme="minorHAnsi" w:hAnsiTheme="minorHAnsi" w:cstheme="minorHAnsi"/>
          <w:sz w:val="18"/>
        </w:rPr>
        <w:t xml:space="preserve"> </w:t>
      </w:r>
      <w:r w:rsidRPr="007347DB">
        <w:rPr>
          <w:rFonts w:asciiTheme="minorHAnsi" w:hAnsiTheme="minorHAnsi" w:cstheme="minorHAnsi"/>
          <w:sz w:val="18"/>
        </w:rPr>
        <w:t xml:space="preserve">Keratinocytes and In Vivo Study in Rats. In Vivo. </w:t>
      </w:r>
    </w:p>
    <w:p w14:paraId="62C9F1F3" w14:textId="1FA7A573" w:rsidR="00AE3E37" w:rsidRPr="008756E6" w:rsidRDefault="00AE3E37" w:rsidP="008756E6">
      <w:pPr>
        <w:tabs>
          <w:tab w:val="left" w:pos="384"/>
        </w:tabs>
        <w:ind w:right="117"/>
      </w:pPr>
    </w:p>
    <w:p w14:paraId="7853E9B1" w14:textId="0FA80524"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6391327" w14:textId="77777777" w:rsidR="00AE3E37" w:rsidRDefault="00AE3E37">
      <w:pPr>
        <w:pStyle w:val="Zkladntext"/>
        <w:rPr>
          <w:rFonts w:ascii="Calibri"/>
          <w:sz w:val="20"/>
        </w:rPr>
      </w:pPr>
    </w:p>
    <w:p w14:paraId="16A08FB8" w14:textId="00EAE2B2" w:rsidR="00AE3E37" w:rsidRDefault="00292ED9">
      <w:pPr>
        <w:pStyle w:val="Zkladntext"/>
        <w:spacing w:line="40" w:lineRule="exact"/>
        <w:ind w:left="2202"/>
        <w:rPr>
          <w:rFonts w:ascii="Calibri"/>
          <w:sz w:val="4"/>
        </w:rPr>
      </w:pPr>
      <w:r>
        <w:rPr>
          <w:rFonts w:ascii="Calibri"/>
          <w:noProof/>
          <w:sz w:val="4"/>
        </w:rPr>
        <mc:AlternateContent>
          <mc:Choice Requires="wpg">
            <w:drawing>
              <wp:inline distT="0" distB="0" distL="0" distR="0" wp14:anchorId="4385C42A" wp14:editId="7DC3548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6B90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B64370" w14:textId="75AAF852" w:rsidR="00AE3E37" w:rsidRDefault="001A5169"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1" locked="0" layoutInCell="1" allowOverlap="1" wp14:anchorId="498E8DA4" wp14:editId="4D131832">
                <wp:simplePos x="0" y="0"/>
                <wp:positionH relativeFrom="margin">
                  <wp:posOffset>5608375</wp:posOffset>
                </wp:positionH>
                <wp:positionV relativeFrom="paragraph">
                  <wp:posOffset>84786</wp:posOffset>
                </wp:positionV>
                <wp:extent cx="1012190" cy="570230"/>
                <wp:effectExtent l="19050" t="19050" r="16510" b="20320"/>
                <wp:wrapTight wrapText="bothSides">
                  <wp:wrapPolygon edited="0">
                    <wp:start x="0" y="-722"/>
                    <wp:lineTo x="-407" y="-722"/>
                    <wp:lineTo x="-407" y="21648"/>
                    <wp:lineTo x="21546" y="21648"/>
                    <wp:lineTo x="21546" y="722"/>
                    <wp:lineTo x="21139" y="-722"/>
                    <wp:lineTo x="0" y="-722"/>
                  </wp:wrapPolygon>
                </wp:wrapTight>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235F4F" w14:textId="636CC421" w:rsidR="00A52075" w:rsidRDefault="00A11338" w:rsidP="00A52075">
                            <w:pPr>
                              <w:rPr>
                                <w:b/>
                                <w:color w:val="0000FF"/>
                                <w:lang w:val="en-IN"/>
                              </w:rPr>
                            </w:pPr>
                            <w:r w:rsidRPr="00A11338">
                              <w:rPr>
                                <w:b/>
                                <w:color w:val="0000FF"/>
                              </w:rPr>
                              <w:drawing>
                                <wp:inline distT="0" distB="0" distL="0" distR="0" wp14:anchorId="47863A0C" wp14:editId="21BA96D3">
                                  <wp:extent cx="741600" cy="306000"/>
                                  <wp:effectExtent l="0" t="0" r="190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00" cy="306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8E8DA4" id="Rounded Rectangle 2" o:spid="_x0000_s1026" style="position:absolute;margin-left:441.6pt;margin-top:6.7pt;width:79.7pt;height:44.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" strokecolor="#9bbb59" strokeweight="2.5pt">
                <v:shadow color="#868686"/>
                <v:textbox>
                  <w:txbxContent>
                    <w:p w14:paraId="40235F4F" w14:textId="636CC421" w:rsidR="00A52075" w:rsidRDefault="00A11338" w:rsidP="00A52075">
                      <w:pPr>
                        <w:rPr>
                          <w:b/>
                          <w:color w:val="0000FF"/>
                          <w:lang w:val="en-IN"/>
                        </w:rPr>
                      </w:pPr>
                      <w:r w:rsidRPr="00A11338">
                        <w:rPr>
                          <w:b/>
                          <w:color w:val="0000FF"/>
                        </w:rPr>
                        <w:drawing>
                          <wp:inline distT="0" distB="0" distL="0" distR="0" wp14:anchorId="47863A0C" wp14:editId="21BA96D3">
                            <wp:extent cx="741600" cy="306000"/>
                            <wp:effectExtent l="0" t="0" r="190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00" cy="306000"/>
                                    </a:xfrm>
                                    <a:prstGeom prst="rect">
                                      <a:avLst/>
                                    </a:prstGeom>
                                    <a:noFill/>
                                    <a:ln>
                                      <a:noFill/>
                                    </a:ln>
                                  </pic:spPr>
                                </pic:pic>
                              </a:graphicData>
                            </a:graphic>
                          </wp:inline>
                        </w:drawing>
                      </w:r>
                    </w:p>
                  </w:txbxContent>
                </v:textbox>
                <w10:wrap type="tight" anchorx="margin"/>
              </v:roundrect>
            </w:pict>
          </mc:Fallback>
        </mc:AlternateContent>
      </w:r>
      <w:r w:rsidR="008756E6">
        <w:rPr>
          <w:noProof/>
        </w:rPr>
        <w:t xml:space="preserve">              </w:t>
      </w:r>
      <w:r w:rsidR="002B3157">
        <w:rPr>
          <w:rFonts w:ascii="Times New Roman" w:hAnsi="Times New Roman" w:cs="Times New Roman"/>
          <w:bCs/>
          <w:noProof/>
          <w:sz w:val="24"/>
          <w:szCs w:val="24"/>
          <w:lang w:val="sk-SK" w:eastAsia="sk-SK"/>
        </w:rPr>
        <w:drawing>
          <wp:inline distT="0" distB="0" distL="0" distR="0" wp14:anchorId="6E8C2CAF" wp14:editId="2F2E5CD7">
            <wp:extent cx="617220" cy="622118"/>
            <wp:effectExtent l="0" t="0" r="0" b="6985"/>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DSC2797.jpg"/>
                    <pic:cNvPicPr/>
                  </pic:nvPicPr>
                  <pic:blipFill rotWithShape="1">
                    <a:blip r:embed="rId11" cstate="print">
                      <a:extLst>
                        <a:ext uri="{28A0092B-C50C-407E-A947-70E740481C1C}">
                          <a14:useLocalDpi xmlns:a14="http://schemas.microsoft.com/office/drawing/2010/main" val="0"/>
                        </a:ext>
                      </a:extLst>
                    </a:blip>
                    <a:srcRect b="32804"/>
                    <a:stretch/>
                  </pic:blipFill>
                  <pic:spPr bwMode="auto">
                    <a:xfrm>
                      <a:off x="0" y="0"/>
                      <a:ext cx="634541" cy="639577"/>
                    </a:xfrm>
                    <a:prstGeom prst="rect">
                      <a:avLst/>
                    </a:prstGeom>
                    <a:ln>
                      <a:noFill/>
                    </a:ln>
                    <a:extLst>
                      <a:ext uri="{53640926-AAD7-44D8-BBD7-CCE9431645EC}">
                        <a14:shadowObscured xmlns:a14="http://schemas.microsoft.com/office/drawing/2010/main"/>
                      </a:ext>
                    </a:extLst>
                  </pic:spPr>
                </pic:pic>
              </a:graphicData>
            </a:graphic>
          </wp:inline>
        </w:drawing>
      </w:r>
      <w:r w:rsidR="008D09A6">
        <w:rPr>
          <w:noProof/>
        </w:rPr>
        <w:t xml:space="preserve">     </w:t>
      </w:r>
      <w:r w:rsidR="00A9710C">
        <w:rPr>
          <w:rFonts w:ascii="Arial"/>
          <w:color w:val="BF5A14"/>
        </w:rPr>
        <w:t>Biography</w:t>
      </w:r>
    </w:p>
    <w:p w14:paraId="6B69E141" w14:textId="0FF5B68B" w:rsidR="00665E9F" w:rsidRDefault="00665E9F">
      <w:pPr>
        <w:spacing w:before="41" w:line="154" w:lineRule="exact"/>
        <w:ind w:left="213" w:right="231"/>
        <w:jc w:val="both"/>
        <w:rPr>
          <w:rFonts w:ascii="Arial"/>
          <w:sz w:val="14"/>
        </w:rPr>
      </w:pPr>
      <w:r w:rsidRPr="00665E9F">
        <w:rPr>
          <w:rFonts w:ascii="Arial"/>
          <w:sz w:val="14"/>
        </w:rPr>
        <w:t xml:space="preserve">Dr. Mucaji graduated in Pharmacy at Comenius University in Bratislava, Slovakia, where he also received a Ph.D. degree in </w:t>
      </w:r>
      <w:r>
        <w:rPr>
          <w:rFonts w:ascii="Arial"/>
          <w:sz w:val="14"/>
        </w:rPr>
        <w:t>P</w:t>
      </w:r>
      <w:r w:rsidRPr="00665E9F">
        <w:rPr>
          <w:rFonts w:ascii="Arial"/>
          <w:sz w:val="14"/>
        </w:rPr>
        <w:t>harmacognosy. Since 2013 is an ordinary professor at the Department of Pharmacognosy and Botany, Faculty of Pharmacy, CU. He has published over 90 research articles with more than 1100 citations. His field of interest is pharmacognosy, the separation, and identification of natural compounds, extracts standardization, and evaluation of natural compounds' biological activity</w:t>
      </w:r>
    </w:p>
    <w:p w14:paraId="5A88EF7F" w14:textId="1D2A46E0" w:rsidR="00AE3E37" w:rsidRDefault="00A9710C">
      <w:pPr>
        <w:spacing w:before="62"/>
        <w:ind w:left="4217" w:right="4235"/>
        <w:jc w:val="center"/>
        <w:rPr>
          <w:rFonts w:ascii="Arial"/>
          <w:sz w:val="14"/>
        </w:rPr>
      </w:pPr>
      <w:r>
        <w:rPr>
          <w:rFonts w:ascii="Arial"/>
          <w:sz w:val="14"/>
        </w:rPr>
        <w:t xml:space="preserve">Email: </w:t>
      </w:r>
      <w:hyperlink r:id="rId12" w:history="1">
        <w:r w:rsidR="00570662" w:rsidRPr="00332AB6">
          <w:rPr>
            <w:rStyle w:val="Hypertextovprepojenie"/>
            <w:rFonts w:ascii="Arial"/>
            <w:sz w:val="14"/>
          </w:rPr>
          <w:t>mucaji@fpharm.uniba.sk</w:t>
        </w:r>
      </w:hyperlink>
    </w:p>
    <w:p w14:paraId="7D812FB3" w14:textId="3FE06C26" w:rsidR="00EA7D51" w:rsidRPr="00007EAC" w:rsidRDefault="00292ED9" w:rsidP="00007EAC">
      <w:pPr>
        <w:pStyle w:val="Zkladntext"/>
        <w:spacing w:before="2"/>
        <w:rPr>
          <w:rFonts w:ascii="Arial"/>
          <w:sz w:val="19"/>
        </w:rPr>
      </w:pPr>
      <w:r>
        <w:rPr>
          <w:noProof/>
        </w:rPr>
        <mc:AlternateContent>
          <mc:Choice Requires="wps">
            <w:drawing>
              <wp:anchor distT="0" distB="0" distL="0" distR="0" simplePos="0" relativeHeight="1072" behindDoc="0" locked="0" layoutInCell="1" allowOverlap="1" wp14:anchorId="6B902C0F" wp14:editId="14F719A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F609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A8D935F" w14:textId="04610C5D"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70662">
        <w:rPr>
          <w:sz w:val="20"/>
          <w:szCs w:val="20"/>
          <w:lang w:val="en-NZ"/>
        </w:rPr>
        <w:t>Pavel Mucaji</w:t>
      </w:r>
      <w:r w:rsidRPr="00F35A62">
        <w:rPr>
          <w:sz w:val="20"/>
          <w:szCs w:val="20"/>
          <w:lang w:val="en-NZ"/>
        </w:rPr>
        <w:br/>
        <w:t>Contact number:</w:t>
      </w:r>
      <w:r w:rsidR="00570662">
        <w:rPr>
          <w:sz w:val="20"/>
          <w:szCs w:val="20"/>
          <w:lang w:val="en-NZ"/>
        </w:rPr>
        <w:t xml:space="preserve"> +421 908 976 480</w:t>
      </w:r>
    </w:p>
    <w:p w14:paraId="4845F071" w14:textId="3DDEA8EB" w:rsidR="00EA7D51" w:rsidRPr="0082050C" w:rsidRDefault="00EA7D51" w:rsidP="0082050C">
      <w:pPr>
        <w:autoSpaceDE w:val="0"/>
        <w:autoSpaceDN w:val="0"/>
        <w:adjustRightInd w:val="0"/>
        <w:rPr>
          <w:sz w:val="20"/>
          <w:szCs w:val="20"/>
          <w:lang w:val="en-NZ"/>
        </w:rPr>
        <w:sectPr w:rsidR="00EA7D51" w:rsidRPr="0082050C"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570662">
        <w:rPr>
          <w:sz w:val="20"/>
          <w:szCs w:val="20"/>
          <w:lang w:val="en-NZ"/>
        </w:rPr>
        <w:t>Plant Physiology and Biochemistry /</w:t>
      </w:r>
      <w:r w:rsidR="00437BFA">
        <w:rPr>
          <w:sz w:val="20"/>
          <w:szCs w:val="20"/>
          <w:lang w:val="en-NZ"/>
        </w:rPr>
        <w:t xml:space="preserve"> </w:t>
      </w:r>
      <w:r w:rsidR="00570662">
        <w:rPr>
          <w:sz w:val="20"/>
          <w:szCs w:val="20"/>
          <w:lang w:val="en-NZ"/>
        </w:rPr>
        <w:t>4</w:t>
      </w:r>
      <w:r w:rsidRPr="00F35A62">
        <w:rPr>
          <w:sz w:val="20"/>
          <w:szCs w:val="20"/>
          <w:lang w:val="en-NZ"/>
        </w:rPr>
        <w:br/>
        <w:t>Category: Poster presentation</w:t>
      </w:r>
    </w:p>
    <w:p w14:paraId="3E25EBA1" w14:textId="77777777" w:rsidR="00AE3E37" w:rsidRDefault="00AE3E37" w:rsidP="00F54606">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8EE7F" w14:textId="77777777" w:rsidR="0091515A" w:rsidRDefault="0091515A">
      <w:r>
        <w:separator/>
      </w:r>
    </w:p>
  </w:endnote>
  <w:endnote w:type="continuationSeparator" w:id="0">
    <w:p w14:paraId="3EDB7193" w14:textId="77777777" w:rsidR="0091515A" w:rsidRDefault="00915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091EB" w14:textId="77777777" w:rsidR="00AE3E37" w:rsidRDefault="00292ED9">
    <w:pPr>
      <w:pStyle w:val="Zkladntext"/>
      <w:spacing w:line="14" w:lineRule="auto"/>
      <w:rPr>
        <w:sz w:val="20"/>
      </w:rPr>
    </w:pPr>
    <w:r>
      <w:rPr>
        <w:noProof/>
      </w:rPr>
      <mc:AlternateContent>
        <mc:Choice Requires="wps">
          <w:drawing>
            <wp:anchor distT="0" distB="0" distL="114300" distR="114300" simplePos="0" relativeHeight="503311928" behindDoc="1" locked="0" layoutInCell="1" allowOverlap="1" wp14:anchorId="5AFC3D72" wp14:editId="19CE19C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9D14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DDBE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FC3D7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1F9D14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DDBE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2BEC4B4" wp14:editId="3B8CDA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4DB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880D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EC4B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754DB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880D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5AFC0ED" wp14:editId="6289162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EB8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D02C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FC0ED"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20EB8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D02C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3C7A2" w14:textId="77777777" w:rsidR="0091515A" w:rsidRDefault="0091515A">
      <w:r>
        <w:separator/>
      </w:r>
    </w:p>
  </w:footnote>
  <w:footnote w:type="continuationSeparator" w:id="0">
    <w:p w14:paraId="60E8AB04" w14:textId="77777777" w:rsidR="0091515A" w:rsidRDefault="009151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7EAC"/>
    <w:rsid w:val="000534A1"/>
    <w:rsid w:val="0006797A"/>
    <w:rsid w:val="000B4CAA"/>
    <w:rsid w:val="000D27D6"/>
    <w:rsid w:val="000D6F12"/>
    <w:rsid w:val="000E2911"/>
    <w:rsid w:val="001263DF"/>
    <w:rsid w:val="00133202"/>
    <w:rsid w:val="001A5169"/>
    <w:rsid w:val="00225F39"/>
    <w:rsid w:val="00286356"/>
    <w:rsid w:val="00292ED9"/>
    <w:rsid w:val="002B3157"/>
    <w:rsid w:val="003051CA"/>
    <w:rsid w:val="00317779"/>
    <w:rsid w:val="0034461D"/>
    <w:rsid w:val="00351D9B"/>
    <w:rsid w:val="00380299"/>
    <w:rsid w:val="003D03D5"/>
    <w:rsid w:val="003D5CA2"/>
    <w:rsid w:val="0040056E"/>
    <w:rsid w:val="00404E5B"/>
    <w:rsid w:val="00414F7B"/>
    <w:rsid w:val="004355DC"/>
    <w:rsid w:val="00437BFA"/>
    <w:rsid w:val="004749B4"/>
    <w:rsid w:val="00475D20"/>
    <w:rsid w:val="00494130"/>
    <w:rsid w:val="004A41E7"/>
    <w:rsid w:val="004F3523"/>
    <w:rsid w:val="00511D08"/>
    <w:rsid w:val="00570662"/>
    <w:rsid w:val="00590D60"/>
    <w:rsid w:val="005973B9"/>
    <w:rsid w:val="005B3A56"/>
    <w:rsid w:val="005D17F7"/>
    <w:rsid w:val="006060CE"/>
    <w:rsid w:val="0061505C"/>
    <w:rsid w:val="0063497F"/>
    <w:rsid w:val="00665E9F"/>
    <w:rsid w:val="00714354"/>
    <w:rsid w:val="007347DB"/>
    <w:rsid w:val="007B277B"/>
    <w:rsid w:val="00802EE0"/>
    <w:rsid w:val="0082050C"/>
    <w:rsid w:val="00873DF0"/>
    <w:rsid w:val="008756E6"/>
    <w:rsid w:val="00897EC5"/>
    <w:rsid w:val="008A0763"/>
    <w:rsid w:val="008D09A6"/>
    <w:rsid w:val="008E5477"/>
    <w:rsid w:val="0091515A"/>
    <w:rsid w:val="00916CD3"/>
    <w:rsid w:val="009B2D44"/>
    <w:rsid w:val="00A07E82"/>
    <w:rsid w:val="00A11338"/>
    <w:rsid w:val="00A20AED"/>
    <w:rsid w:val="00A52075"/>
    <w:rsid w:val="00A9710C"/>
    <w:rsid w:val="00AE3E37"/>
    <w:rsid w:val="00B21A57"/>
    <w:rsid w:val="00B97B36"/>
    <w:rsid w:val="00BE6743"/>
    <w:rsid w:val="00C228E6"/>
    <w:rsid w:val="00C33602"/>
    <w:rsid w:val="00C35D89"/>
    <w:rsid w:val="00C56C74"/>
    <w:rsid w:val="00CC3780"/>
    <w:rsid w:val="00CD6F55"/>
    <w:rsid w:val="00CE3434"/>
    <w:rsid w:val="00D03302"/>
    <w:rsid w:val="00DA09BD"/>
    <w:rsid w:val="00DB6A29"/>
    <w:rsid w:val="00DE3104"/>
    <w:rsid w:val="00DE6170"/>
    <w:rsid w:val="00E30AAC"/>
    <w:rsid w:val="00E7034A"/>
    <w:rsid w:val="00E95D97"/>
    <w:rsid w:val="00EA7D51"/>
    <w:rsid w:val="00EE1AB1"/>
    <w:rsid w:val="00F046EA"/>
    <w:rsid w:val="00F312EA"/>
    <w:rsid w:val="00F35A62"/>
    <w:rsid w:val="00F54606"/>
    <w:rsid w:val="00F72EEA"/>
    <w:rsid w:val="00F73C68"/>
    <w:rsid w:val="00F84CAE"/>
    <w:rsid w:val="00FA41DE"/>
    <w:rsid w:val="00FC4B9D"/>
    <w:rsid w:val="00FE2E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48B27"/>
  <w15:docId w15:val="{78056805-A369-4310-9149-20F6CC4F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 w:type="character" w:styleId="Nevyrieenzmienka">
    <w:name w:val="Unresolved Mention"/>
    <w:basedOn w:val="Predvolenpsmoodseku"/>
    <w:uiPriority w:val="99"/>
    <w:semiHidden/>
    <w:unhideWhenUsed/>
    <w:rsid w:val="00570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ucaji@fpharm.uniba.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16131-47C3-4DE9-9429-FB8DCCA69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641</Words>
  <Characters>3654</Characters>
  <Application>Microsoft Office Word</Application>
  <DocSecurity>0</DocSecurity>
  <Lines>30</Lines>
  <Paragraphs>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Mučaji Pavel</cp:lastModifiedBy>
  <cp:revision>2</cp:revision>
  <dcterms:created xsi:type="dcterms:W3CDTF">2023-01-27T11:06:00Z</dcterms:created>
  <dcterms:modified xsi:type="dcterms:W3CDTF">2023-01-27T11:06:00Z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