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Epidemiology of Phenylketonuria</w:t>
      </w:r>
      <w:r>
        <w:rPr>
          <w:spacing w:val="-119"/>
        </w:rPr>
        <w:t> </w:t>
      </w:r>
      <w:r>
        <w:rPr/>
        <w:t>Disease in Jordan: Medical and</w:t>
      </w:r>
      <w:r>
        <w:rPr>
          <w:spacing w:val="1"/>
        </w:rPr>
        <w:t> </w:t>
      </w:r>
      <w:r>
        <w:rPr/>
        <w:t>Nutritional</w:t>
      </w:r>
      <w:r>
        <w:rPr>
          <w:spacing w:val="-1"/>
        </w:rPr>
        <w:t> </w:t>
      </w:r>
      <w:r>
        <w:rPr/>
        <w:t>Challenges</w:t>
      </w:r>
    </w:p>
    <w:p>
      <w:pPr>
        <w:pStyle w:val="BodyText"/>
        <w:spacing w:before="7"/>
        <w:ind w:left="0"/>
        <w:rPr>
          <w:rFonts w:ascii="Georgia"/>
          <w:b/>
          <w:sz w:val="16"/>
        </w:rPr>
      </w:pPr>
    </w:p>
    <w:p>
      <w:pPr>
        <w:pStyle w:val="BodyText"/>
        <w:spacing w:before="90"/>
        <w:rPr>
          <w:rFonts w:ascii="Times New Roman"/>
        </w:rPr>
      </w:pPr>
      <w:r>
        <w:rPr/>
        <w:pict>
          <v:group style="position:absolute;margin-left:161.059998pt;margin-top:4.543123pt;width:3pt;height:13.8pt;mso-position-horizontal-relative:page;mso-position-vertical-relative:paragraph;z-index:-15787520" coordorigin="3221,91" coordsize="60,276">
            <v:rect style="position:absolute;left:3221;top:90;width:60;height:276" filled="true" fillcolor="#f0f0f0" stroked="false">
              <v:fill type="solid"/>
            </v:rect>
            <v:rect style="position:absolute;left:3221;top:26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267.410004pt;margin-top:4.543123pt;width:3pt;height:13.8pt;mso-position-horizontal-relative:page;mso-position-vertical-relative:paragraph;z-index:-15787008" coordorigin="5348,91" coordsize="60,276">
            <v:rect style="position:absolute;left:5348;top:90;width:60;height:276" filled="true" fillcolor="#f0f0f0" stroked="false">
              <v:fill type="solid"/>
            </v:rect>
            <v:rect style="position:absolute;left:5348;top:26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341.589996pt;margin-top:4.543123pt;width:3pt;height:13.8pt;mso-position-horizontal-relative:page;mso-position-vertical-relative:paragraph;z-index:-15786496" coordorigin="6832,91" coordsize="60,276">
            <v:rect style="position:absolute;left:6831;top:90;width:60;height:276" filled="true" fillcolor="#f0f0f0" stroked="false">
              <v:fill type="solid"/>
            </v:rect>
            <v:rect style="position:absolute;left:6831;top:26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421.75pt;margin-top:4.543123pt;width:7.45pt;height:27.6pt;mso-position-horizontal-relative:page;mso-position-vertical-relative:paragraph;z-index:-15785984" coordorigin="8435,91" coordsize="149,552">
            <v:rect style="position:absolute;left:8435;top:90;width:60;height:276" filled="true" fillcolor="#f0f0f0" stroked="false">
              <v:fill type="solid"/>
            </v:rect>
            <v:rect style="position:absolute;left:8435;top:266;width:60;height:5" filled="true" fillcolor="#313945" stroked="false">
              <v:fill type="solid"/>
            </v:rect>
            <v:rect style="position:absolute;left:8523;top:366;width:60;height:276" filled="true" fillcolor="#f0f0f0" stroked="false">
              <v:fill type="solid"/>
            </v:rect>
            <v:rect style="position:absolute;left:8523;top:542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493.899994pt;margin-top:4.543123pt;width:3pt;height:13.8pt;mso-position-horizontal-relative:page;mso-position-vertical-relative:paragraph;z-index:-15785472" coordorigin="9878,91" coordsize="60,276">
            <v:rect style="position:absolute;left:9878;top:90;width:60;height:276" filled="true" fillcolor="#f0f0f0" stroked="false">
              <v:fill type="solid"/>
            </v:rect>
            <v:rect style="position:absolute;left:9878;top:266;width:60;height:5" filled="true" fillcolor="#313945" stroked="false">
              <v:fill type="solid"/>
            </v:rect>
            <w10:wrap type="none"/>
          </v:group>
        </w:pict>
      </w:r>
      <w:hyperlink r:id="rId5">
        <w:r>
          <w:rPr>
            <w:rFonts w:ascii="Times New Roman"/>
            <w:color w:val="0070BB"/>
            <w:spacing w:val="-1"/>
            <w:u w:val="single" w:color="0070BB"/>
          </w:rPr>
          <w:t>Safwan</w:t>
        </w:r>
        <w:r>
          <w:rPr>
            <w:rFonts w:ascii="Times New Roman"/>
            <w:color w:val="0070BB"/>
            <w:u w:val="single" w:color="0070BB"/>
          </w:rPr>
          <w:t> </w:t>
        </w:r>
        <w:r>
          <w:rPr>
            <w:rFonts w:ascii="Times New Roman"/>
            <w:color w:val="0070BB"/>
            <w:spacing w:val="-1"/>
            <w:u w:val="single" w:color="0070BB"/>
          </w:rPr>
          <w:t>Dababneh</w:t>
        </w:r>
        <w:r>
          <w:rPr>
            <w:rFonts w:ascii="Times New Roman"/>
            <w:color w:val="0070BB"/>
            <w:spacing w:val="-29"/>
          </w:rPr>
          <w:t> </w:t>
        </w:r>
      </w:hyperlink>
      <w:hyperlink r:id="rId6">
        <w:r>
          <w:rPr>
            <w:rFonts w:ascii="Times New Roman"/>
            <w:color w:val="313945"/>
            <w:spacing w:val="-1"/>
            <w:position w:val="6"/>
            <w:sz w:val="12"/>
          </w:rPr>
          <w:t>1</w:t>
        </w:r>
        <w:r>
          <w:rPr>
            <w:rFonts w:ascii="Times New Roman"/>
            <w:color w:val="5B606B"/>
            <w:spacing w:val="-1"/>
          </w:rPr>
          <w:t>,</w:t>
        </w:r>
      </w:hyperlink>
      <w:r>
        <w:rPr>
          <w:rFonts w:ascii="Times New Roman"/>
          <w:color w:val="5B606B"/>
          <w:spacing w:val="1"/>
        </w:rPr>
        <w:t> </w:t>
      </w:r>
      <w:hyperlink r:id="rId7">
        <w:r>
          <w:rPr>
            <w:rFonts w:ascii="Times New Roman"/>
            <w:color w:val="0070BB"/>
            <w:spacing w:val="-1"/>
            <w:u w:val="single" w:color="0070BB"/>
          </w:rPr>
          <w:t>Mohammed</w:t>
        </w:r>
        <w:r>
          <w:rPr>
            <w:rFonts w:ascii="Times New Roman"/>
            <w:color w:val="0070BB"/>
            <w:u w:val="single" w:color="0070BB"/>
          </w:rPr>
          <w:t> </w:t>
        </w:r>
        <w:r>
          <w:rPr>
            <w:rFonts w:ascii="Times New Roman"/>
            <w:color w:val="0070BB"/>
            <w:spacing w:val="-1"/>
            <w:u w:val="single" w:color="0070BB"/>
          </w:rPr>
          <w:t>Alsbou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8">
        <w:r>
          <w:rPr>
            <w:rFonts w:ascii="Times New Roman"/>
            <w:color w:val="313945"/>
            <w:position w:val="6"/>
            <w:sz w:val="12"/>
          </w:rPr>
          <w:t>2</w:t>
        </w:r>
      </w:hyperlink>
      <w:r>
        <w:rPr>
          <w:rFonts w:ascii="Times New Roman"/>
          <w:color w:val="5B606B"/>
        </w:rPr>
        <w:t>,</w:t>
      </w:r>
      <w:r>
        <w:rPr>
          <w:rFonts w:ascii="Times New Roman"/>
          <w:color w:val="5B606B"/>
          <w:spacing w:val="1"/>
        </w:rPr>
        <w:t> </w:t>
      </w:r>
      <w:hyperlink r:id="rId9">
        <w:r>
          <w:rPr>
            <w:rFonts w:ascii="Times New Roman"/>
            <w:color w:val="0070BB"/>
            <w:u w:val="single" w:color="0070BB"/>
          </w:rPr>
          <w:t>Nashat</w:t>
        </w:r>
        <w:r>
          <w:rPr>
            <w:rFonts w:ascii="Times New Roman"/>
            <w:color w:val="0070BB"/>
            <w:spacing w:val="2"/>
            <w:u w:val="single" w:color="0070BB"/>
          </w:rPr>
          <w:t> </w:t>
        </w:r>
        <w:r>
          <w:rPr>
            <w:rFonts w:ascii="Times New Roman"/>
            <w:color w:val="0070BB"/>
            <w:u w:val="single" w:color="0070BB"/>
          </w:rPr>
          <w:t>Taani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</w:t>
      </w:r>
      <w:r>
        <w:rPr>
          <w:rFonts w:ascii="Times New Roman"/>
          <w:color w:val="5B606B"/>
          <w:spacing w:val="1"/>
        </w:rPr>
        <w:t> </w:t>
      </w:r>
      <w:hyperlink r:id="rId10">
        <w:r>
          <w:rPr>
            <w:rFonts w:ascii="Times New Roman"/>
            <w:color w:val="0070BB"/>
            <w:u w:val="single" w:color="0070BB"/>
          </w:rPr>
          <w:t>Ghazi Sharkas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</w:t>
      </w:r>
      <w:r>
        <w:rPr>
          <w:rFonts w:ascii="Times New Roman"/>
          <w:color w:val="5B606B"/>
          <w:spacing w:val="1"/>
        </w:rPr>
        <w:t> </w:t>
      </w:r>
      <w:hyperlink r:id="rId11">
        <w:r>
          <w:rPr>
            <w:rFonts w:ascii="Times New Roman"/>
            <w:color w:val="0070BB"/>
            <w:u w:val="single" w:color="0070BB"/>
          </w:rPr>
          <w:t>Refqi Ismael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</w:t>
      </w:r>
      <w:r>
        <w:rPr>
          <w:rFonts w:ascii="Times New Roman"/>
          <w:color w:val="5B606B"/>
          <w:spacing w:val="1"/>
        </w:rPr>
        <w:t> </w:t>
      </w:r>
      <w:hyperlink r:id="rId12">
        <w:r>
          <w:rPr>
            <w:rFonts w:ascii="Times New Roman"/>
            <w:color w:val="0070BB"/>
            <w:u w:val="single" w:color="0070BB"/>
          </w:rPr>
          <w:t>Latifeh</w:t>
        </w:r>
      </w:hyperlink>
    </w:p>
    <w:p>
      <w:pPr>
        <w:pStyle w:val="BodyText"/>
        <w:rPr>
          <w:rFonts w:ascii="Times New Roman"/>
          <w:sz w:val="12"/>
        </w:rPr>
      </w:pPr>
      <w:r>
        <w:rPr/>
        <w:pict>
          <v:group style="position:absolute;margin-left:110.059998pt;margin-top:.043135pt;width:3pt;height:13.8pt;mso-position-horizontal-relative:page;mso-position-vertical-relative:paragraph;z-index:-15784960" coordorigin="2201,1" coordsize="60,276">
            <v:rect style="position:absolute;left:2201;top:0;width:60;height:276" filled="true" fillcolor="#f0f0f0" stroked="false">
              <v:fill type="solid"/>
            </v:rect>
            <v:rect style="position:absolute;left:2201;top:17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181.580002pt;margin-top:.043135pt;width:3pt;height:13.8pt;mso-position-horizontal-relative:page;mso-position-vertical-relative:paragraph;z-index:-15784448" coordorigin="3632,1" coordsize="60,276">
            <v:rect style="position:absolute;left:3631;top:0;width:60;height:276" filled="true" fillcolor="#f0f0f0" stroked="false">
              <v:fill type="solid"/>
            </v:rect>
            <v:rect style="position:absolute;left:3631;top:17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285.170013pt;margin-top:.043135pt;width:3pt;height:13.8pt;mso-position-horizontal-relative:page;mso-position-vertical-relative:paragraph;z-index:-15783936" coordorigin="5703,1" coordsize="60,276">
            <v:rect style="position:absolute;left:5703;top:0;width:60;height:276" filled="true" fillcolor="#f0f0f0" stroked="false">
              <v:fill type="solid"/>
            </v:rect>
            <v:rect style="position:absolute;left:5703;top:17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362.709991pt;margin-top:.043135pt;width:3pt;height:13.8pt;mso-position-horizontal-relative:page;mso-position-vertical-relative:paragraph;z-index:-15783424" coordorigin="7254,1" coordsize="60,276">
            <v:rect style="position:absolute;left:7254;top:0;width:60;height:276" filled="true" fillcolor="#f0f0f0" stroked="false">
              <v:fill type="solid"/>
            </v:rect>
            <v:rect style="position:absolute;left:7254;top:176;width:60;height:5" filled="true" fillcolor="#313945" stroked="false">
              <v:fill type="solid"/>
            </v:rect>
            <w10:wrap type="none"/>
          </v:group>
        </w:pict>
      </w:r>
      <w:r>
        <w:rPr/>
        <w:pict>
          <v:group style="position:absolute;margin-left:502.299988pt;margin-top:.043135pt;width:3.15pt;height:13.8pt;mso-position-horizontal-relative:page;mso-position-vertical-relative:paragraph;z-index:-15782912" coordorigin="10046,1" coordsize="63,276">
            <v:rect style="position:absolute;left:10046;top:0;width:63;height:276" filled="true" fillcolor="#f0f0f0" stroked="false">
              <v:fill type="solid"/>
            </v:rect>
            <v:rect style="position:absolute;left:10046;top:176;width:63;height:5" filled="true" fillcolor="#313945" stroked="false">
              <v:fill type="solid"/>
            </v:rect>
            <w10:wrap type="none"/>
          </v:group>
        </w:pict>
      </w:r>
      <w:hyperlink r:id="rId12">
        <w:r>
          <w:rPr>
            <w:rFonts w:ascii="Times New Roman"/>
            <w:color w:val="0070BB"/>
            <w:spacing w:val="-1"/>
            <w:u w:val="single" w:color="0070BB"/>
          </w:rPr>
          <w:t>Maraqa</w:t>
        </w:r>
        <w:r>
          <w:rPr>
            <w:rFonts w:ascii="Times New Roman"/>
            <w:color w:val="0070BB"/>
            <w:spacing w:val="-30"/>
          </w:rPr>
          <w:t> </w:t>
        </w:r>
      </w:hyperlink>
      <w:hyperlink r:id="rId6">
        <w:r>
          <w:rPr>
            <w:rFonts w:ascii="Times New Roman"/>
            <w:color w:val="313945"/>
            <w:spacing w:val="-1"/>
            <w:position w:val="6"/>
            <w:sz w:val="12"/>
          </w:rPr>
          <w:t>1</w:t>
        </w:r>
        <w:r>
          <w:rPr>
            <w:rFonts w:ascii="Times New Roman"/>
            <w:color w:val="5B606B"/>
            <w:spacing w:val="-1"/>
          </w:rPr>
          <w:t>,</w:t>
        </w:r>
      </w:hyperlink>
      <w:r>
        <w:rPr>
          <w:rFonts w:ascii="Times New Roman"/>
          <w:color w:val="5B606B"/>
        </w:rPr>
        <w:t> </w:t>
      </w:r>
      <w:hyperlink r:id="rId13">
        <w:r>
          <w:rPr>
            <w:rFonts w:ascii="Times New Roman"/>
            <w:color w:val="0070BB"/>
            <w:spacing w:val="-1"/>
            <w:u w:val="single" w:color="0070BB"/>
          </w:rPr>
          <w:t>Omar</w:t>
        </w:r>
        <w:r>
          <w:rPr>
            <w:rFonts w:ascii="Times New Roman"/>
            <w:color w:val="0070BB"/>
            <w:u w:val="single" w:color="0070BB"/>
          </w:rPr>
          <w:t> </w:t>
        </w:r>
        <w:r>
          <w:rPr>
            <w:rFonts w:ascii="Times New Roman"/>
            <w:color w:val="0070BB"/>
            <w:spacing w:val="-1"/>
            <w:u w:val="single" w:color="0070BB"/>
          </w:rPr>
          <w:t>Nemri</w:t>
        </w:r>
        <w:r>
          <w:rPr>
            <w:rFonts w:ascii="Times New Roman"/>
            <w:color w:val="0070BB"/>
            <w:spacing w:val="-29"/>
          </w:rPr>
          <w:t> </w:t>
        </w:r>
      </w:hyperlink>
      <w:hyperlink r:id="rId6">
        <w:r>
          <w:rPr>
            <w:rFonts w:ascii="Times New Roman"/>
            <w:color w:val="313945"/>
            <w:spacing w:val="-1"/>
            <w:position w:val="6"/>
            <w:sz w:val="12"/>
          </w:rPr>
          <w:t>1</w:t>
        </w:r>
        <w:r>
          <w:rPr>
            <w:rFonts w:ascii="Times New Roman"/>
            <w:color w:val="5B606B"/>
            <w:spacing w:val="-1"/>
          </w:rPr>
          <w:t>,</w:t>
        </w:r>
        <w:r>
          <w:rPr>
            <w:rFonts w:ascii="Times New Roman"/>
            <w:color w:val="5B606B"/>
            <w:spacing w:val="3"/>
          </w:rPr>
          <w:t> </w:t>
        </w:r>
      </w:hyperlink>
      <w:hyperlink r:id="rId14">
        <w:r>
          <w:rPr>
            <w:rFonts w:ascii="Times New Roman"/>
            <w:color w:val="0070BB"/>
            <w:u w:val="single" w:color="0070BB"/>
          </w:rPr>
          <w:t>Hanin Al-Jawaldeh</w:t>
        </w:r>
        <w:r>
          <w:rPr>
            <w:rFonts w:ascii="Times New Roman"/>
            <w:color w:val="0070BB"/>
            <w:spacing w:val="-29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 </w:t>
      </w:r>
      <w:hyperlink r:id="rId15">
        <w:r>
          <w:rPr>
            <w:rFonts w:ascii="Times New Roman"/>
            <w:color w:val="0070BB"/>
            <w:u w:val="single" w:color="0070BB"/>
          </w:rPr>
          <w:t>Nadeen Kopti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 </w:t>
      </w:r>
      <w:hyperlink r:id="rId16">
        <w:r>
          <w:rPr>
            <w:rFonts w:ascii="Times New Roman"/>
            <w:color w:val="0070BB"/>
            <w:u w:val="single" w:color="0070BB"/>
          </w:rPr>
          <w:t>Enas</w:t>
        </w:r>
        <w:r>
          <w:rPr>
            <w:rFonts w:ascii="Times New Roman"/>
            <w:color w:val="0070BB"/>
            <w:spacing w:val="1"/>
            <w:u w:val="single" w:color="0070BB"/>
          </w:rPr>
          <w:t> </w:t>
        </w:r>
        <w:r>
          <w:rPr>
            <w:rFonts w:ascii="Times New Roman"/>
            <w:color w:val="0070BB"/>
            <w:u w:val="single" w:color="0070BB"/>
          </w:rPr>
          <w:t>Atieh</w:t>
        </w:r>
        <w:r>
          <w:rPr>
            <w:rFonts w:ascii="Times New Roman"/>
            <w:color w:val="0070BB"/>
            <w:spacing w:val="-29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  <w:r>
        <w:rPr>
          <w:rFonts w:ascii="Times New Roman"/>
          <w:color w:val="5B606B"/>
        </w:rPr>
        <w:t>, </w:t>
      </w:r>
      <w:hyperlink r:id="rId17">
        <w:r>
          <w:rPr>
            <w:rFonts w:ascii="Times New Roman"/>
            <w:color w:val="0070BB"/>
            <w:u w:val="single" w:color="0070BB"/>
          </w:rPr>
          <w:t>Arab Almasri</w:t>
        </w:r>
        <w:r>
          <w:rPr>
            <w:rFonts w:ascii="Times New Roman"/>
            <w:color w:val="0070BB"/>
            <w:spacing w:val="-28"/>
          </w:rPr>
          <w:t> </w:t>
        </w:r>
      </w:hyperlink>
      <w:hyperlink r:id="rId6">
        <w:r>
          <w:rPr>
            <w:rFonts w:ascii="Times New Roman"/>
            <w:color w:val="313945"/>
            <w:position w:val="6"/>
            <w:sz w:val="12"/>
          </w:rPr>
          <w:t>1</w:t>
        </w:r>
      </w:hyperlink>
    </w:p>
    <w:p>
      <w:pPr>
        <w:pStyle w:val="BodyText"/>
        <w:spacing w:before="1"/>
        <w:rPr>
          <w:rFonts w:ascii="Times New Roman"/>
        </w:rPr>
      </w:pPr>
      <w:r>
        <w:rPr>
          <w:rFonts w:ascii="Times New Roman"/>
        </w:rPr>
        <w:t>Affiliations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expand</w:t>
      </w:r>
    </w:p>
    <w:p>
      <w:pPr>
        <w:pStyle w:val="BodyText"/>
        <w:spacing w:before="4"/>
        <w:ind w:left="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240" w:lineRule="auto" w:before="0" w:after="0"/>
        <w:ind w:left="460" w:right="0" w:hanging="361"/>
        <w:jc w:val="left"/>
        <w:rPr>
          <w:sz w:val="24"/>
          <w:u w:val="none"/>
        </w:rPr>
      </w:pPr>
      <w:r>
        <w:rPr>
          <w:sz w:val="24"/>
          <w:u w:val="none"/>
        </w:rPr>
        <w:t>PMID:</w:t>
      </w:r>
      <w:r>
        <w:rPr>
          <w:spacing w:val="-2"/>
          <w:sz w:val="24"/>
          <w:u w:val="none"/>
        </w:rPr>
        <w:t> </w:t>
      </w:r>
      <w:r>
        <w:rPr>
          <w:color w:val="202020"/>
          <w:sz w:val="24"/>
          <w:u w:val="none"/>
        </w:rPr>
        <w:t>35327772</w:t>
      </w:r>
    </w:p>
    <w:p>
      <w:pPr>
        <w:pStyle w:val="BodyText"/>
        <w:ind w:left="0"/>
        <w:rPr>
          <w:rFonts w:ascii="Times New Roman"/>
          <w:sz w:val="26"/>
        </w:rPr>
      </w:pPr>
    </w:p>
    <w:p>
      <w:pPr>
        <w:pStyle w:val="BodyText"/>
        <w:ind w:left="0"/>
        <w:rPr>
          <w:rFonts w:ascii="Times New Roman"/>
          <w:sz w:val="26"/>
        </w:rPr>
      </w:pPr>
    </w:p>
    <w:p>
      <w:pPr>
        <w:pStyle w:val="BodyText"/>
        <w:spacing w:before="10"/>
        <w:ind w:left="0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240" w:lineRule="auto" w:before="1" w:after="0"/>
        <w:ind w:left="460" w:right="0" w:hanging="361"/>
        <w:jc w:val="left"/>
        <w:rPr>
          <w:sz w:val="24"/>
          <w:u w:val="none"/>
        </w:rPr>
      </w:pPr>
      <w:r>
        <w:rPr>
          <w:sz w:val="24"/>
          <w:u w:val="none"/>
        </w:rPr>
        <w:t>PMCID:</w:t>
      </w:r>
      <w:r>
        <w:rPr>
          <w:color w:val="0070BB"/>
          <w:spacing w:val="-2"/>
          <w:sz w:val="24"/>
          <w:u w:val="none"/>
        </w:rPr>
        <w:t> </w:t>
      </w:r>
      <w:hyperlink r:id="rId18">
        <w:r>
          <w:rPr>
            <w:color w:val="0070BB"/>
            <w:sz w:val="24"/>
            <w:u w:val="single" w:color="0070BB"/>
          </w:rPr>
          <w:t>PMC8947754</w:t>
        </w:r>
      </w:hyperlink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240" w:lineRule="auto" w:before="90" w:after="0"/>
        <w:ind w:left="460" w:right="0" w:hanging="361"/>
        <w:jc w:val="left"/>
        <w:rPr>
          <w:sz w:val="24"/>
          <w:u w:val="none"/>
        </w:rPr>
      </w:pPr>
      <w:r>
        <w:rPr>
          <w:sz w:val="24"/>
          <w:u w:val="none"/>
        </w:rPr>
        <w:t>DOI:</w:t>
      </w:r>
      <w:r>
        <w:rPr>
          <w:color w:val="0070BB"/>
          <w:spacing w:val="-2"/>
          <w:sz w:val="24"/>
          <w:u w:val="none"/>
        </w:rPr>
        <w:t> </w:t>
      </w:r>
      <w:hyperlink r:id="rId19">
        <w:r>
          <w:rPr>
            <w:color w:val="0070BB"/>
            <w:sz w:val="24"/>
            <w:u w:val="single" w:color="0070BB"/>
          </w:rPr>
          <w:t>10.3390/children9030402</w:t>
        </w:r>
      </w:hyperlink>
    </w:p>
    <w:p>
      <w:pPr>
        <w:pStyle w:val="BodyText"/>
        <w:spacing w:before="4"/>
        <w:ind w:left="0"/>
        <w:rPr>
          <w:rFonts w:ascii="Times New Roman"/>
          <w:sz w:val="16"/>
        </w:rPr>
      </w:pPr>
    </w:p>
    <w:p>
      <w:pPr>
        <w:spacing w:before="90"/>
        <w:ind w:left="46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color w:val="C05500"/>
          <w:sz w:val="24"/>
        </w:rPr>
        <w:t>Free</w:t>
      </w:r>
      <w:r>
        <w:rPr>
          <w:rFonts w:ascii="Times New Roman"/>
          <w:b/>
          <w:color w:val="C05500"/>
          <w:spacing w:val="-3"/>
          <w:sz w:val="24"/>
        </w:rPr>
        <w:t> </w:t>
      </w:r>
      <w:r>
        <w:rPr>
          <w:rFonts w:ascii="Times New Roman"/>
          <w:b/>
          <w:color w:val="C05500"/>
          <w:sz w:val="24"/>
        </w:rPr>
        <w:t>PMC</w:t>
      </w:r>
      <w:r>
        <w:rPr>
          <w:rFonts w:ascii="Times New Roman"/>
          <w:b/>
          <w:color w:val="C05500"/>
          <w:spacing w:val="-2"/>
          <w:sz w:val="24"/>
        </w:rPr>
        <w:t> </w:t>
      </w:r>
      <w:r>
        <w:rPr>
          <w:rFonts w:ascii="Times New Roman"/>
          <w:b/>
          <w:color w:val="C05500"/>
          <w:sz w:val="24"/>
        </w:rPr>
        <w:t>article</w:t>
      </w:r>
    </w:p>
    <w:p>
      <w:pPr>
        <w:pStyle w:val="BodyText"/>
        <w:spacing w:before="7"/>
        <w:ind w:left="0"/>
        <w:rPr>
          <w:rFonts w:ascii="Times New Roman"/>
          <w:b/>
        </w:rPr>
      </w:pPr>
    </w:p>
    <w:p>
      <w:pPr>
        <w:spacing w:before="0"/>
        <w:ind w:left="460" w:right="0" w:firstLine="0"/>
        <w:jc w:val="left"/>
        <w:rPr>
          <w:rFonts w:ascii="Georgia"/>
          <w:b/>
          <w:sz w:val="36"/>
        </w:rPr>
      </w:pPr>
      <w:r>
        <w:rPr>
          <w:rFonts w:ascii="Georgia"/>
          <w:b/>
          <w:color w:val="202020"/>
          <w:sz w:val="36"/>
        </w:rPr>
        <w:t>Abstract</w:t>
      </w:r>
    </w:p>
    <w:p>
      <w:pPr>
        <w:pStyle w:val="BodyText"/>
        <w:spacing w:before="279"/>
        <w:ind w:right="52"/>
      </w:pPr>
      <w:r>
        <w:rPr>
          <w:b/>
          <w:color w:val="202020"/>
        </w:rPr>
        <w:t>Background: </w:t>
      </w:r>
      <w:r>
        <w:rPr>
          <w:color w:val="202020"/>
        </w:rPr>
        <w:t>Phenylketonuria (PKU) is the most frequent inborn error in amino acid</w:t>
      </w:r>
      <w:r>
        <w:rPr>
          <w:color w:val="202020"/>
          <w:spacing w:val="1"/>
        </w:rPr>
        <w:t> </w:t>
      </w:r>
      <w:r>
        <w:rPr>
          <w:color w:val="202020"/>
        </w:rPr>
        <w:t>metabolism caused by a deficiency of the phenylalanine hydroxylase enzyme (PAH). If</w:t>
      </w:r>
      <w:r>
        <w:rPr>
          <w:color w:val="202020"/>
          <w:spacing w:val="1"/>
        </w:rPr>
        <w:t> </w:t>
      </w:r>
      <w:r>
        <w:rPr>
          <w:color w:val="202020"/>
        </w:rPr>
        <w:t>PKU is left untreated, high concentrations of phenylalanine (Phe) accumulate in the</w:t>
      </w:r>
      <w:r>
        <w:rPr>
          <w:color w:val="202020"/>
          <w:spacing w:val="1"/>
        </w:rPr>
        <w:t> </w:t>
      </w:r>
      <w:r>
        <w:rPr>
          <w:color w:val="202020"/>
        </w:rPr>
        <w:t>blood, leading to severe brain dysfunction, neurodevelopmental, behavioral and</w:t>
      </w:r>
      <w:r>
        <w:rPr>
          <w:color w:val="202020"/>
          <w:spacing w:val="1"/>
        </w:rPr>
        <w:t> </w:t>
      </w:r>
      <w:r>
        <w:rPr>
          <w:color w:val="202020"/>
        </w:rPr>
        <w:t>psychological</w:t>
      </w:r>
      <w:r>
        <w:rPr>
          <w:color w:val="202020"/>
          <w:spacing w:val="-5"/>
        </w:rPr>
        <w:t> </w:t>
      </w:r>
      <w:r>
        <w:rPr>
          <w:color w:val="202020"/>
        </w:rPr>
        <w:t>problems.</w:t>
      </w:r>
      <w:r>
        <w:rPr>
          <w:color w:val="202020"/>
          <w:spacing w:val="-2"/>
        </w:rPr>
        <w:t> </w:t>
      </w:r>
      <w:r>
        <w:rPr>
          <w:color w:val="202020"/>
        </w:rPr>
        <w:t>Data</w:t>
      </w:r>
      <w:r>
        <w:rPr>
          <w:color w:val="202020"/>
          <w:spacing w:val="-3"/>
        </w:rPr>
        <w:t> </w:t>
      </w:r>
      <w:r>
        <w:rPr>
          <w:color w:val="202020"/>
        </w:rPr>
        <w:t>concerning</w:t>
      </w:r>
      <w:r>
        <w:rPr>
          <w:color w:val="202020"/>
          <w:spacing w:val="-3"/>
        </w:rPr>
        <w:t> </w:t>
      </w:r>
      <w:r>
        <w:rPr>
          <w:color w:val="202020"/>
        </w:rPr>
        <w:t>the</w:t>
      </w:r>
      <w:r>
        <w:rPr>
          <w:color w:val="202020"/>
          <w:spacing w:val="-4"/>
        </w:rPr>
        <w:t> </w:t>
      </w:r>
      <w:r>
        <w:rPr>
          <w:color w:val="202020"/>
        </w:rPr>
        <w:t>epidemiology</w:t>
      </w:r>
      <w:r>
        <w:rPr>
          <w:color w:val="202020"/>
          <w:spacing w:val="-4"/>
        </w:rPr>
        <w:t> </w:t>
      </w:r>
      <w:r>
        <w:rPr>
          <w:color w:val="202020"/>
        </w:rPr>
        <w:t>of</w:t>
      </w:r>
      <w:r>
        <w:rPr>
          <w:color w:val="202020"/>
          <w:spacing w:val="-4"/>
        </w:rPr>
        <w:t> </w:t>
      </w:r>
      <w:r>
        <w:rPr>
          <w:color w:val="202020"/>
        </w:rPr>
        <w:t>PKU</w:t>
      </w:r>
      <w:r>
        <w:rPr>
          <w:color w:val="202020"/>
          <w:spacing w:val="-1"/>
        </w:rPr>
        <w:t> </w:t>
      </w:r>
      <w:r>
        <w:rPr>
          <w:color w:val="202020"/>
        </w:rPr>
        <w:t>in</w:t>
      </w:r>
      <w:r>
        <w:rPr>
          <w:color w:val="202020"/>
          <w:spacing w:val="-3"/>
        </w:rPr>
        <w:t> </w:t>
      </w:r>
      <w:r>
        <w:rPr>
          <w:color w:val="202020"/>
        </w:rPr>
        <w:t>Jordan</w:t>
      </w:r>
      <w:r>
        <w:rPr>
          <w:color w:val="202020"/>
          <w:spacing w:val="-3"/>
        </w:rPr>
        <w:t> </w:t>
      </w:r>
      <w:r>
        <w:rPr>
          <w:color w:val="202020"/>
        </w:rPr>
        <w:t>are</w:t>
      </w:r>
      <w:r>
        <w:rPr>
          <w:color w:val="202020"/>
          <w:spacing w:val="-4"/>
        </w:rPr>
        <w:t> </w:t>
      </w:r>
      <w:r>
        <w:rPr>
          <w:color w:val="202020"/>
        </w:rPr>
        <w:t>limited.</w:t>
      </w:r>
      <w:r>
        <w:rPr>
          <w:color w:val="202020"/>
          <w:spacing w:val="-63"/>
        </w:rPr>
        <w:t> </w:t>
      </w:r>
      <w:r>
        <w:rPr>
          <w:color w:val="202020"/>
        </w:rPr>
        <w:t>The main objectives of our study were to determine the prevalence of PKU in Jordan,</w:t>
      </w:r>
      <w:r>
        <w:rPr>
          <w:color w:val="202020"/>
          <w:spacing w:val="1"/>
        </w:rPr>
        <w:t> </w:t>
      </w:r>
      <w:r>
        <w:rPr>
          <w:color w:val="202020"/>
        </w:rPr>
        <w:t>analyze the PKU phenotypes, and identify major challenges in providing dietary</w:t>
      </w:r>
      <w:r>
        <w:rPr>
          <w:color w:val="202020"/>
          <w:spacing w:val="1"/>
        </w:rPr>
        <w:t> </w:t>
      </w:r>
      <w:r>
        <w:rPr>
          <w:color w:val="202020"/>
        </w:rPr>
        <w:t>management</w:t>
      </w:r>
      <w:r>
        <w:rPr>
          <w:color w:val="202020"/>
          <w:spacing w:val="-1"/>
        </w:rPr>
        <w:t> </w:t>
      </w:r>
      <w:r>
        <w:rPr>
          <w:color w:val="202020"/>
        </w:rPr>
        <w:t>to PKU</w:t>
      </w:r>
      <w:r>
        <w:rPr>
          <w:color w:val="202020"/>
          <w:spacing w:val="-1"/>
        </w:rPr>
        <w:t> </w:t>
      </w:r>
      <w:r>
        <w:rPr>
          <w:color w:val="202020"/>
        </w:rPr>
        <w:t>patients.</w:t>
      </w:r>
    </w:p>
    <w:p>
      <w:pPr>
        <w:pStyle w:val="BodyText"/>
        <w:spacing w:before="281"/>
        <w:ind w:right="387"/>
      </w:pPr>
      <w:r>
        <w:rPr>
          <w:b/>
          <w:color w:val="202020"/>
        </w:rPr>
        <w:t>Methods: </w:t>
      </w:r>
      <w:r>
        <w:rPr>
          <w:color w:val="202020"/>
        </w:rPr>
        <w:t>Data were collected utilizing the medical records of PKU patients attending</w:t>
      </w:r>
      <w:r>
        <w:rPr>
          <w:color w:val="202020"/>
          <w:spacing w:val="-64"/>
        </w:rPr>
        <w:t> </w:t>
      </w:r>
      <w:r>
        <w:rPr>
          <w:color w:val="202020"/>
        </w:rPr>
        <w:t>the</w:t>
      </w:r>
      <w:r>
        <w:rPr>
          <w:color w:val="202020"/>
          <w:spacing w:val="-4"/>
        </w:rPr>
        <w:t> </w:t>
      </w:r>
      <w:r>
        <w:rPr>
          <w:color w:val="202020"/>
        </w:rPr>
        <w:t>PKU</w:t>
      </w:r>
      <w:r>
        <w:rPr>
          <w:color w:val="202020"/>
          <w:spacing w:val="-2"/>
        </w:rPr>
        <w:t> </w:t>
      </w:r>
      <w:r>
        <w:rPr>
          <w:color w:val="202020"/>
        </w:rPr>
        <w:t>clinic</w:t>
      </w:r>
      <w:r>
        <w:rPr>
          <w:color w:val="202020"/>
          <w:spacing w:val="-3"/>
        </w:rPr>
        <w:t> </w:t>
      </w:r>
      <w:r>
        <w:rPr>
          <w:color w:val="202020"/>
        </w:rPr>
        <w:t>at the</w:t>
      </w:r>
      <w:r>
        <w:rPr>
          <w:color w:val="202020"/>
          <w:spacing w:val="-3"/>
        </w:rPr>
        <w:t> </w:t>
      </w:r>
      <w:r>
        <w:rPr>
          <w:color w:val="202020"/>
        </w:rPr>
        <w:t>Ministry</w:t>
      </w:r>
      <w:r>
        <w:rPr>
          <w:color w:val="202020"/>
          <w:spacing w:val="-3"/>
        </w:rPr>
        <w:t> </w:t>
      </w:r>
      <w:r>
        <w:rPr>
          <w:color w:val="202020"/>
        </w:rPr>
        <w:t>of</w:t>
      </w:r>
      <w:r>
        <w:rPr>
          <w:color w:val="202020"/>
          <w:spacing w:val="-3"/>
        </w:rPr>
        <w:t> </w:t>
      </w:r>
      <w:r>
        <w:rPr>
          <w:color w:val="202020"/>
        </w:rPr>
        <w:t>Health</w:t>
      </w:r>
      <w:r>
        <w:rPr>
          <w:color w:val="202020"/>
          <w:spacing w:val="-2"/>
        </w:rPr>
        <w:t> </w:t>
      </w:r>
      <w:r>
        <w:rPr>
          <w:color w:val="202020"/>
        </w:rPr>
        <w:t>in</w:t>
      </w:r>
      <w:r>
        <w:rPr>
          <w:color w:val="202020"/>
          <w:spacing w:val="-2"/>
        </w:rPr>
        <w:t> </w:t>
      </w:r>
      <w:r>
        <w:rPr>
          <w:color w:val="202020"/>
        </w:rPr>
        <w:t>Amman,</w:t>
      </w:r>
      <w:r>
        <w:rPr>
          <w:color w:val="202020"/>
          <w:spacing w:val="-2"/>
        </w:rPr>
        <w:t> </w:t>
      </w:r>
      <w:r>
        <w:rPr>
          <w:color w:val="202020"/>
        </w:rPr>
        <w:t>Jordan,</w:t>
      </w:r>
      <w:r>
        <w:rPr>
          <w:color w:val="202020"/>
          <w:spacing w:val="-1"/>
        </w:rPr>
        <w:t> </w:t>
      </w:r>
      <w:r>
        <w:rPr>
          <w:color w:val="202020"/>
        </w:rPr>
        <w:t>between</w:t>
      </w:r>
      <w:r>
        <w:rPr>
          <w:color w:val="202020"/>
          <w:spacing w:val="-2"/>
        </w:rPr>
        <w:t> </w:t>
      </w:r>
      <w:r>
        <w:rPr>
          <w:color w:val="202020"/>
        </w:rPr>
        <w:t>2008</w:t>
      </w:r>
      <w:r>
        <w:rPr>
          <w:color w:val="202020"/>
          <w:spacing w:val="-2"/>
        </w:rPr>
        <w:t> </w:t>
      </w:r>
      <w:r>
        <w:rPr>
          <w:color w:val="202020"/>
        </w:rPr>
        <w:t>and</w:t>
      </w:r>
      <w:r>
        <w:rPr>
          <w:color w:val="202020"/>
          <w:spacing w:val="-2"/>
        </w:rPr>
        <w:t> </w:t>
      </w:r>
      <w:r>
        <w:rPr>
          <w:color w:val="202020"/>
        </w:rPr>
        <w:t>2021.</w:t>
      </w:r>
    </w:p>
    <w:p>
      <w:pPr>
        <w:pStyle w:val="BodyText"/>
        <w:spacing w:before="279"/>
        <w:ind w:right="176"/>
      </w:pPr>
      <w:r>
        <w:rPr>
          <w:b/>
          <w:color w:val="202020"/>
        </w:rPr>
        <w:t>Results: </w:t>
      </w:r>
      <w:r>
        <w:rPr>
          <w:color w:val="202020"/>
        </w:rPr>
        <w:t>The total number of patients diagnosed with PKU was 294. The prevalence of</w:t>
      </w:r>
      <w:r>
        <w:rPr>
          <w:color w:val="202020"/>
          <w:spacing w:val="1"/>
        </w:rPr>
        <w:t> </w:t>
      </w:r>
      <w:r>
        <w:rPr>
          <w:color w:val="202020"/>
        </w:rPr>
        <w:t>PKU</w:t>
      </w:r>
      <w:r>
        <w:rPr>
          <w:color w:val="202020"/>
          <w:spacing w:val="-3"/>
        </w:rPr>
        <w:t> </w:t>
      </w:r>
      <w:r>
        <w:rPr>
          <w:color w:val="202020"/>
        </w:rPr>
        <w:t>was</w:t>
      </w:r>
      <w:r>
        <w:rPr>
          <w:color w:val="202020"/>
          <w:spacing w:val="-3"/>
        </w:rPr>
        <w:t> </w:t>
      </w:r>
      <w:r>
        <w:rPr>
          <w:color w:val="202020"/>
        </w:rPr>
        <w:t>estimated</w:t>
      </w:r>
      <w:r>
        <w:rPr>
          <w:color w:val="202020"/>
          <w:spacing w:val="-2"/>
        </w:rPr>
        <w:t> </w:t>
      </w:r>
      <w:r>
        <w:rPr>
          <w:color w:val="202020"/>
        </w:rPr>
        <w:t>to be</w:t>
      </w:r>
      <w:r>
        <w:rPr>
          <w:color w:val="202020"/>
          <w:spacing w:val="-4"/>
        </w:rPr>
        <w:t> </w:t>
      </w:r>
      <w:r>
        <w:rPr>
          <w:color w:val="202020"/>
        </w:rPr>
        <w:t>1/5263.</w:t>
      </w:r>
      <w:r>
        <w:rPr>
          <w:color w:val="202020"/>
          <w:spacing w:val="-1"/>
        </w:rPr>
        <w:t> </w:t>
      </w:r>
      <w:r>
        <w:rPr>
          <w:color w:val="202020"/>
        </w:rPr>
        <w:t>Most</w:t>
      </w:r>
      <w:r>
        <w:rPr>
          <w:color w:val="202020"/>
          <w:spacing w:val="-1"/>
        </w:rPr>
        <w:t> </w:t>
      </w:r>
      <w:r>
        <w:rPr>
          <w:color w:val="202020"/>
        </w:rPr>
        <w:t>patients</w:t>
      </w:r>
      <w:r>
        <w:rPr>
          <w:color w:val="202020"/>
          <w:spacing w:val="-4"/>
        </w:rPr>
        <w:t> </w:t>
      </w:r>
      <w:r>
        <w:rPr>
          <w:color w:val="202020"/>
        </w:rPr>
        <w:t>were</w:t>
      </w:r>
      <w:r>
        <w:rPr>
          <w:color w:val="202020"/>
          <w:spacing w:val="-3"/>
        </w:rPr>
        <w:t> </w:t>
      </w:r>
      <w:r>
        <w:rPr>
          <w:color w:val="202020"/>
        </w:rPr>
        <w:t>Jordanians</w:t>
      </w:r>
      <w:r>
        <w:rPr>
          <w:color w:val="202020"/>
          <w:spacing w:val="-4"/>
        </w:rPr>
        <w:t> </w:t>
      </w:r>
      <w:r>
        <w:rPr>
          <w:color w:val="202020"/>
        </w:rPr>
        <w:t>(90.8%),</w:t>
      </w:r>
      <w:r>
        <w:rPr>
          <w:color w:val="202020"/>
          <w:spacing w:val="-2"/>
        </w:rPr>
        <w:t> </w:t>
      </w:r>
      <w:r>
        <w:rPr>
          <w:color w:val="202020"/>
        </w:rPr>
        <w:t>and</w:t>
      </w:r>
      <w:r>
        <w:rPr>
          <w:color w:val="202020"/>
          <w:spacing w:val="-1"/>
        </w:rPr>
        <w:t> </w:t>
      </w:r>
      <w:r>
        <w:rPr>
          <w:color w:val="202020"/>
        </w:rPr>
        <w:t>9.2%</w:t>
      </w:r>
      <w:r>
        <w:rPr>
          <w:color w:val="202020"/>
          <w:spacing w:val="-3"/>
        </w:rPr>
        <w:t> </w:t>
      </w:r>
      <w:r>
        <w:rPr>
          <w:color w:val="202020"/>
        </w:rPr>
        <w:t>were</w:t>
      </w:r>
      <w:r>
        <w:rPr>
          <w:color w:val="202020"/>
          <w:spacing w:val="-63"/>
        </w:rPr>
        <w:t> </w:t>
      </w:r>
      <w:r>
        <w:rPr>
          <w:color w:val="202020"/>
        </w:rPr>
        <w:t>non-Jordanians. More than half of the patients (56%) were diagnosed through the</w:t>
      </w:r>
      <w:r>
        <w:rPr>
          <w:color w:val="202020"/>
          <w:spacing w:val="1"/>
        </w:rPr>
        <w:t> </w:t>
      </w:r>
      <w:r>
        <w:rPr>
          <w:color w:val="202020"/>
        </w:rPr>
        <w:t>national newborn screening (NBS) program. Regarding the phenotypes of PKU, 46.6%</w:t>
      </w:r>
      <w:r>
        <w:rPr>
          <w:color w:val="202020"/>
          <w:spacing w:val="1"/>
        </w:rPr>
        <w:t> </w:t>
      </w:r>
      <w:r>
        <w:rPr>
          <w:color w:val="202020"/>
        </w:rPr>
        <w:t>had moderate PKU, whereas 42.9% had the classic type of PKU and only 8 (2.7%) had</w:t>
      </w:r>
      <w:r>
        <w:rPr>
          <w:color w:val="202020"/>
          <w:spacing w:val="1"/>
        </w:rPr>
        <w:t> </w:t>
      </w:r>
      <w:r>
        <w:rPr>
          <w:color w:val="202020"/>
        </w:rPr>
        <w:t>cofactor</w:t>
      </w:r>
      <w:r>
        <w:rPr>
          <w:color w:val="202020"/>
          <w:spacing w:val="-1"/>
        </w:rPr>
        <w:t> </w:t>
      </w:r>
      <w:r>
        <w:rPr>
          <w:color w:val="202020"/>
        </w:rPr>
        <w:t>Tetrahydrobiopterin</w:t>
      </w:r>
      <w:r>
        <w:rPr>
          <w:color w:val="202020"/>
          <w:spacing w:val="-2"/>
        </w:rPr>
        <w:t> </w:t>
      </w:r>
      <w:r>
        <w:rPr>
          <w:color w:val="202020"/>
        </w:rPr>
        <w:t>(BH4)</w:t>
      </w:r>
      <w:r>
        <w:rPr>
          <w:color w:val="202020"/>
          <w:spacing w:val="-3"/>
        </w:rPr>
        <w:t> </w:t>
      </w:r>
      <w:r>
        <w:rPr>
          <w:color w:val="202020"/>
        </w:rPr>
        <w:t>deficiency</w:t>
      </w:r>
      <w:r>
        <w:rPr>
          <w:color w:val="202020"/>
          <w:spacing w:val="-1"/>
        </w:rPr>
        <w:t> </w:t>
      </w:r>
      <w:r>
        <w:rPr>
          <w:color w:val="202020"/>
        </w:rPr>
        <w:t>(atypical</w:t>
      </w:r>
      <w:r>
        <w:rPr>
          <w:color w:val="202020"/>
          <w:spacing w:val="-3"/>
        </w:rPr>
        <w:t> </w:t>
      </w:r>
      <w:r>
        <w:rPr>
          <w:color w:val="202020"/>
        </w:rPr>
        <w:t>PKU).</w:t>
      </w:r>
      <w:r>
        <w:rPr>
          <w:color w:val="202020"/>
          <w:spacing w:val="-2"/>
        </w:rPr>
        <w:t> </w:t>
      </w:r>
      <w:r>
        <w:rPr>
          <w:color w:val="202020"/>
        </w:rPr>
        <w:t>According</w:t>
      </w:r>
      <w:r>
        <w:rPr>
          <w:color w:val="202020"/>
          <w:spacing w:val="-1"/>
        </w:rPr>
        <w:t> </w:t>
      </w:r>
      <w:r>
        <w:rPr>
          <w:color w:val="202020"/>
        </w:rPr>
        <w:t>to</w:t>
      </w:r>
      <w:r>
        <w:rPr>
          <w:color w:val="202020"/>
          <w:spacing w:val="-1"/>
        </w:rPr>
        <w:t> </w:t>
      </w:r>
      <w:r>
        <w:rPr>
          <w:color w:val="202020"/>
        </w:rPr>
        <w:t>the</w:t>
      </w:r>
      <w:r>
        <w:rPr>
          <w:color w:val="202020"/>
          <w:spacing w:val="-3"/>
        </w:rPr>
        <w:t> </w:t>
      </w:r>
      <w:r>
        <w:rPr>
          <w:color w:val="202020"/>
        </w:rPr>
        <w:t>age</w:t>
      </w:r>
      <w:r>
        <w:rPr>
          <w:color w:val="202020"/>
          <w:spacing w:val="-3"/>
        </w:rPr>
        <w:t> </w:t>
      </w:r>
      <w:r>
        <w:rPr>
          <w:color w:val="202020"/>
        </w:rPr>
        <w:t>of</w:t>
      </w:r>
    </w:p>
    <w:p>
      <w:pPr>
        <w:spacing w:after="0"/>
        <w:sectPr>
          <w:type w:val="continuous"/>
          <w:pgSz w:w="12240" w:h="15840"/>
          <w:pgMar w:top="1360" w:bottom="280" w:left="980" w:right="1340"/>
        </w:sectPr>
      </w:pPr>
    </w:p>
    <w:p>
      <w:pPr>
        <w:pStyle w:val="BodyText"/>
        <w:spacing w:before="80"/>
        <w:ind w:right="134"/>
      </w:pPr>
      <w:r>
        <w:rPr>
          <w:color w:val="202020"/>
        </w:rPr>
        <w:t>diagnosis, 66% of patients were diagnosed more than 30 days post-birth. Consanguinity</w:t>
      </w:r>
      <w:r>
        <w:rPr>
          <w:color w:val="202020"/>
          <w:spacing w:val="-63"/>
        </w:rPr>
        <w:t> </w:t>
      </w:r>
      <w:r>
        <w:rPr>
          <w:color w:val="202020"/>
        </w:rPr>
        <w:t>was found in 87.4% of patients, and the majority of patients, 218 (74.2%), had first-</w:t>
      </w:r>
      <w:r>
        <w:rPr>
          <w:color w:val="202020"/>
          <w:spacing w:val="1"/>
        </w:rPr>
        <w:t> </w:t>
      </w:r>
      <w:r>
        <w:rPr>
          <w:color w:val="202020"/>
        </w:rPr>
        <w:t>degree</w:t>
      </w:r>
      <w:r>
        <w:rPr>
          <w:color w:val="202020"/>
          <w:spacing w:val="-5"/>
        </w:rPr>
        <w:t> </w:t>
      </w:r>
      <w:r>
        <w:rPr>
          <w:color w:val="202020"/>
        </w:rPr>
        <w:t>consanguinity.</w:t>
      </w:r>
      <w:r>
        <w:rPr>
          <w:color w:val="202020"/>
          <w:spacing w:val="-3"/>
        </w:rPr>
        <w:t> </w:t>
      </w:r>
      <w:r>
        <w:rPr>
          <w:color w:val="202020"/>
        </w:rPr>
        <w:t>The</w:t>
      </w:r>
      <w:r>
        <w:rPr>
          <w:color w:val="202020"/>
          <w:spacing w:val="-3"/>
        </w:rPr>
        <w:t> </w:t>
      </w:r>
      <w:r>
        <w:rPr>
          <w:color w:val="202020"/>
        </w:rPr>
        <w:t>most</w:t>
      </w:r>
      <w:r>
        <w:rPr>
          <w:color w:val="202020"/>
          <w:spacing w:val="-2"/>
        </w:rPr>
        <w:t> </w:t>
      </w:r>
      <w:r>
        <w:rPr>
          <w:color w:val="202020"/>
        </w:rPr>
        <w:t>common</w:t>
      </w:r>
      <w:r>
        <w:rPr>
          <w:color w:val="202020"/>
          <w:spacing w:val="-1"/>
        </w:rPr>
        <w:t> </w:t>
      </w:r>
      <w:r>
        <w:rPr>
          <w:color w:val="202020"/>
        </w:rPr>
        <w:t>complication</w:t>
      </w:r>
      <w:r>
        <w:rPr>
          <w:color w:val="202020"/>
          <w:spacing w:val="-2"/>
        </w:rPr>
        <w:t> </w:t>
      </w:r>
      <w:r>
        <w:rPr>
          <w:color w:val="202020"/>
        </w:rPr>
        <w:t>was</w:t>
      </w:r>
      <w:r>
        <w:rPr>
          <w:color w:val="202020"/>
          <w:spacing w:val="-4"/>
        </w:rPr>
        <w:t> </w:t>
      </w:r>
      <w:r>
        <w:rPr>
          <w:color w:val="202020"/>
        </w:rPr>
        <w:t>mental retardation</w:t>
      </w:r>
      <w:r>
        <w:rPr>
          <w:color w:val="202020"/>
          <w:spacing w:val="-2"/>
        </w:rPr>
        <w:t> </w:t>
      </w:r>
      <w:r>
        <w:rPr>
          <w:color w:val="202020"/>
        </w:rPr>
        <w:t>(31%).</w:t>
      </w:r>
    </w:p>
    <w:p>
      <w:pPr>
        <w:pStyle w:val="BodyText"/>
        <w:ind w:right="703"/>
      </w:pPr>
      <w:r>
        <w:rPr>
          <w:color w:val="202020"/>
        </w:rPr>
        <w:t>Most</w:t>
      </w:r>
      <w:r>
        <w:rPr>
          <w:color w:val="202020"/>
          <w:spacing w:val="-2"/>
        </w:rPr>
        <w:t> </w:t>
      </w:r>
      <w:r>
        <w:rPr>
          <w:color w:val="202020"/>
        </w:rPr>
        <w:t>patients</w:t>
      </w:r>
      <w:r>
        <w:rPr>
          <w:color w:val="202020"/>
          <w:spacing w:val="-3"/>
        </w:rPr>
        <w:t> </w:t>
      </w:r>
      <w:r>
        <w:rPr>
          <w:color w:val="202020"/>
        </w:rPr>
        <w:t>were committed</w:t>
      </w:r>
      <w:r>
        <w:rPr>
          <w:color w:val="202020"/>
          <w:spacing w:val="-2"/>
        </w:rPr>
        <w:t> </w:t>
      </w:r>
      <w:r>
        <w:rPr>
          <w:color w:val="202020"/>
        </w:rPr>
        <w:t>to</w:t>
      </w:r>
      <w:r>
        <w:rPr>
          <w:color w:val="202020"/>
          <w:spacing w:val="-1"/>
        </w:rPr>
        <w:t> </w:t>
      </w:r>
      <w:r>
        <w:rPr>
          <w:color w:val="202020"/>
        </w:rPr>
        <w:t>dietary</w:t>
      </w:r>
      <w:r>
        <w:rPr>
          <w:color w:val="202020"/>
          <w:spacing w:val="-1"/>
        </w:rPr>
        <w:t> </w:t>
      </w:r>
      <w:r>
        <w:rPr>
          <w:color w:val="202020"/>
        </w:rPr>
        <w:t>management</w:t>
      </w:r>
      <w:r>
        <w:rPr>
          <w:color w:val="202020"/>
          <w:spacing w:val="-1"/>
        </w:rPr>
        <w:t> </w:t>
      </w:r>
      <w:r>
        <w:rPr>
          <w:color w:val="202020"/>
        </w:rPr>
        <w:t>(83%)</w:t>
      </w:r>
      <w:r>
        <w:rPr>
          <w:color w:val="202020"/>
          <w:spacing w:val="-4"/>
        </w:rPr>
        <w:t> </w:t>
      </w:r>
      <w:r>
        <w:rPr>
          <w:color w:val="202020"/>
        </w:rPr>
        <w:t>and</w:t>
      </w:r>
      <w:r>
        <w:rPr>
          <w:color w:val="202020"/>
          <w:spacing w:val="-1"/>
        </w:rPr>
        <w:t> </w:t>
      </w:r>
      <w:r>
        <w:rPr>
          <w:color w:val="202020"/>
        </w:rPr>
        <w:t>developed</w:t>
      </w:r>
      <w:r>
        <w:rPr>
          <w:color w:val="202020"/>
          <w:spacing w:val="-2"/>
        </w:rPr>
        <w:t> </w:t>
      </w:r>
      <w:r>
        <w:rPr>
          <w:color w:val="202020"/>
        </w:rPr>
        <w:t>fewer</w:t>
      </w:r>
      <w:r>
        <w:rPr>
          <w:color w:val="202020"/>
          <w:spacing w:val="-63"/>
        </w:rPr>
        <w:t> </w:t>
      </w:r>
      <w:r>
        <w:rPr>
          <w:color w:val="202020"/>
        </w:rPr>
        <w:t>complications.</w:t>
      </w:r>
    </w:p>
    <w:p>
      <w:pPr>
        <w:pStyle w:val="BodyText"/>
        <w:spacing w:before="281"/>
        <w:ind w:right="303"/>
      </w:pPr>
      <w:r>
        <w:rPr>
          <w:b/>
          <w:color w:val="202020"/>
        </w:rPr>
        <w:t>Conclusion: </w:t>
      </w:r>
      <w:r>
        <w:rPr>
          <w:color w:val="202020"/>
        </w:rPr>
        <w:t>In our study, we demonstrated the importance of the NBS program in the</w:t>
      </w:r>
      <w:r>
        <w:rPr>
          <w:color w:val="202020"/>
          <w:spacing w:val="-64"/>
        </w:rPr>
        <w:t> </w:t>
      </w:r>
      <w:r>
        <w:rPr>
          <w:color w:val="202020"/>
        </w:rPr>
        <w:t>early identification and diagnosis of new PKU cases which allows the initiation of</w:t>
      </w:r>
      <w:r>
        <w:rPr>
          <w:color w:val="202020"/>
          <w:spacing w:val="1"/>
        </w:rPr>
        <w:t> </w:t>
      </w:r>
      <w:r>
        <w:rPr>
          <w:color w:val="202020"/>
        </w:rPr>
        <w:t>treatment</w:t>
      </w:r>
      <w:r>
        <w:rPr>
          <w:color w:val="202020"/>
          <w:spacing w:val="-2"/>
        </w:rPr>
        <w:t> </w:t>
      </w:r>
      <w:r>
        <w:rPr>
          <w:color w:val="202020"/>
        </w:rPr>
        <w:t>and</w:t>
      </w:r>
      <w:r>
        <w:rPr>
          <w:color w:val="202020"/>
          <w:spacing w:val="-1"/>
        </w:rPr>
        <w:t> </w:t>
      </w:r>
      <w:r>
        <w:rPr>
          <w:color w:val="202020"/>
        </w:rPr>
        <w:t>dietary</w:t>
      </w:r>
      <w:r>
        <w:rPr>
          <w:color w:val="202020"/>
          <w:spacing w:val="-1"/>
        </w:rPr>
        <w:t> </w:t>
      </w:r>
      <w:r>
        <w:rPr>
          <w:color w:val="202020"/>
        </w:rPr>
        <w:t>management</w:t>
      </w:r>
      <w:r>
        <w:rPr>
          <w:color w:val="202020"/>
          <w:spacing w:val="-1"/>
        </w:rPr>
        <w:t> </w:t>
      </w:r>
      <w:r>
        <w:rPr>
          <w:color w:val="202020"/>
        </w:rPr>
        <w:t>to</w:t>
      </w:r>
      <w:r>
        <w:rPr>
          <w:color w:val="202020"/>
          <w:spacing w:val="-1"/>
        </w:rPr>
        <w:t> </w:t>
      </w:r>
      <w:r>
        <w:rPr>
          <w:color w:val="202020"/>
        </w:rPr>
        <w:t>prevent</w:t>
      </w:r>
      <w:r>
        <w:rPr>
          <w:color w:val="202020"/>
          <w:spacing w:val="1"/>
        </w:rPr>
        <w:t> </w:t>
      </w:r>
      <w:r>
        <w:rPr>
          <w:color w:val="202020"/>
        </w:rPr>
        <w:t>severe</w:t>
      </w:r>
      <w:r>
        <w:rPr>
          <w:color w:val="202020"/>
          <w:spacing w:val="-3"/>
        </w:rPr>
        <w:t> </w:t>
      </w:r>
      <w:r>
        <w:rPr>
          <w:color w:val="202020"/>
        </w:rPr>
        <w:t>complications</w:t>
      </w:r>
      <w:r>
        <w:rPr>
          <w:color w:val="202020"/>
          <w:spacing w:val="-3"/>
        </w:rPr>
        <w:t> </w:t>
      </w:r>
      <w:r>
        <w:rPr>
          <w:color w:val="202020"/>
        </w:rPr>
        <w:t>of</w:t>
      </w:r>
      <w:r>
        <w:rPr>
          <w:color w:val="202020"/>
          <w:spacing w:val="-3"/>
        </w:rPr>
        <w:t> </w:t>
      </w:r>
      <w:r>
        <w:rPr>
          <w:color w:val="202020"/>
        </w:rPr>
        <w:t>PKU</w:t>
      </w:r>
      <w:r>
        <w:rPr>
          <w:color w:val="202020"/>
          <w:spacing w:val="-2"/>
        </w:rPr>
        <w:t> </w:t>
      </w:r>
      <w:r>
        <w:rPr>
          <w:color w:val="202020"/>
        </w:rPr>
        <w:t>in</w:t>
      </w:r>
      <w:r>
        <w:rPr>
          <w:color w:val="202020"/>
          <w:spacing w:val="-1"/>
        </w:rPr>
        <w:t> </w:t>
      </w:r>
      <w:r>
        <w:rPr>
          <w:color w:val="202020"/>
        </w:rPr>
        <w:t>Jordan.</w:t>
      </w:r>
    </w:p>
    <w:p>
      <w:pPr>
        <w:pStyle w:val="BodyText"/>
        <w:spacing w:before="278"/>
      </w:pPr>
      <w:r>
        <w:rPr>
          <w:b/>
          <w:color w:val="202020"/>
        </w:rPr>
        <w:t>Keywords:</w:t>
      </w:r>
      <w:r>
        <w:rPr>
          <w:b/>
          <w:color w:val="202020"/>
          <w:spacing w:val="-3"/>
        </w:rPr>
        <w:t> </w:t>
      </w:r>
      <w:r>
        <w:rPr>
          <w:color w:val="202020"/>
        </w:rPr>
        <w:t>Jordan;</w:t>
      </w:r>
      <w:r>
        <w:rPr>
          <w:color w:val="202020"/>
          <w:spacing w:val="-3"/>
        </w:rPr>
        <w:t> </w:t>
      </w:r>
      <w:r>
        <w:rPr>
          <w:color w:val="202020"/>
        </w:rPr>
        <w:t>dietary</w:t>
      </w:r>
      <w:r>
        <w:rPr>
          <w:color w:val="202020"/>
          <w:spacing w:val="-5"/>
        </w:rPr>
        <w:t> </w:t>
      </w:r>
      <w:r>
        <w:rPr>
          <w:color w:val="202020"/>
        </w:rPr>
        <w:t>management;</w:t>
      </w:r>
      <w:r>
        <w:rPr>
          <w:color w:val="202020"/>
          <w:spacing w:val="-4"/>
        </w:rPr>
        <w:t> </w:t>
      </w:r>
      <w:r>
        <w:rPr>
          <w:color w:val="202020"/>
        </w:rPr>
        <w:t>national</w:t>
      </w:r>
      <w:r>
        <w:rPr>
          <w:color w:val="202020"/>
          <w:spacing w:val="-5"/>
        </w:rPr>
        <w:t> </w:t>
      </w:r>
      <w:r>
        <w:rPr>
          <w:color w:val="202020"/>
        </w:rPr>
        <w:t>newborn</w:t>
      </w:r>
      <w:r>
        <w:rPr>
          <w:color w:val="202020"/>
          <w:spacing w:val="-4"/>
        </w:rPr>
        <w:t> </w:t>
      </w:r>
      <w:r>
        <w:rPr>
          <w:color w:val="202020"/>
        </w:rPr>
        <w:t>screening</w:t>
      </w:r>
      <w:r>
        <w:rPr>
          <w:color w:val="202020"/>
          <w:spacing w:val="-3"/>
        </w:rPr>
        <w:t> </w:t>
      </w:r>
      <w:r>
        <w:rPr>
          <w:color w:val="202020"/>
        </w:rPr>
        <w:t>(NBS)</w:t>
      </w:r>
      <w:r>
        <w:rPr>
          <w:color w:val="202020"/>
          <w:spacing w:val="-5"/>
        </w:rPr>
        <w:t> </w:t>
      </w:r>
      <w:r>
        <w:rPr>
          <w:color w:val="202020"/>
        </w:rPr>
        <w:t>program;</w:t>
      </w:r>
      <w:r>
        <w:rPr>
          <w:color w:val="202020"/>
          <w:spacing w:val="-63"/>
        </w:rPr>
        <w:t> </w:t>
      </w:r>
      <w:r>
        <w:rPr>
          <w:color w:val="202020"/>
        </w:rPr>
        <w:t>phenylketonuria</w:t>
      </w:r>
      <w:r>
        <w:rPr>
          <w:color w:val="202020"/>
          <w:spacing w:val="-2"/>
        </w:rPr>
        <w:t> </w:t>
      </w:r>
      <w:r>
        <w:rPr>
          <w:color w:val="202020"/>
        </w:rPr>
        <w:t>(PKU).</w:t>
      </w:r>
    </w:p>
    <w:sectPr>
      <w:pgSz w:w="12240" w:h="15840"/>
      <w:pgMar w:top="1360" w:bottom="280" w:left="98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Georgia">
    <w:altName w:val="Georgia"/>
    <w:charset w:val="1"/>
    <w:family w:val="roman"/>
    <w:pitch w:val="variable"/>
  </w:font>
  <w:font w:name="Segoe UI">
    <w:altName w:val="Segoe U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460" w:hanging="361"/>
      </w:pPr>
      <w:rPr>
        <w:rFonts w:hint="default" w:ascii="Symbol" w:hAnsi="Symbol" w:eastAsia="Symbol" w:cs="Symbol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5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9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3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60"/>
    </w:pPr>
    <w:rPr>
      <w:rFonts w:ascii="Segoe UI" w:hAnsi="Segoe UI" w:eastAsia="Segoe UI" w:cs="Segoe UI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9"/>
      <w:ind w:left="460" w:right="1160"/>
    </w:pPr>
    <w:rPr>
      <w:rFonts w:ascii="Georgia" w:hAnsi="Georgia" w:eastAsia="Georgia" w:cs="Georgia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hanging="361"/>
    </w:pPr>
    <w:rPr>
      <w:rFonts w:ascii="Times New Roman" w:hAnsi="Times New Roman" w:eastAsia="Times New Roman" w:cs="Times New Roman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pubmed.ncbi.nlm.nih.gov/?term=Dababneh%2BS&amp;cauthor_id=35327772" TargetMode="External"/><Relationship Id="rId6" Type="http://schemas.openxmlformats.org/officeDocument/2006/relationships/hyperlink" Target="https://pubmed.ncbi.nlm.nih.gov/35327772/#affiliation-1" TargetMode="External"/><Relationship Id="rId7" Type="http://schemas.openxmlformats.org/officeDocument/2006/relationships/hyperlink" Target="https://pubmed.ncbi.nlm.nih.gov/?term=Alsbou%2BM&amp;cauthor_id=35327772" TargetMode="External"/><Relationship Id="rId8" Type="http://schemas.openxmlformats.org/officeDocument/2006/relationships/hyperlink" Target="https://pubmed.ncbi.nlm.nih.gov/35327772/#affiliation-2" TargetMode="External"/><Relationship Id="rId9" Type="http://schemas.openxmlformats.org/officeDocument/2006/relationships/hyperlink" Target="https://pubmed.ncbi.nlm.nih.gov/?term=Taani%2BN&amp;cauthor_id=35327772" TargetMode="External"/><Relationship Id="rId10" Type="http://schemas.openxmlformats.org/officeDocument/2006/relationships/hyperlink" Target="https://pubmed.ncbi.nlm.nih.gov/?term=Sharkas%2BG&amp;cauthor_id=35327772" TargetMode="External"/><Relationship Id="rId11" Type="http://schemas.openxmlformats.org/officeDocument/2006/relationships/hyperlink" Target="https://pubmed.ncbi.nlm.nih.gov/?term=Ismael%2BR&amp;cauthor_id=35327772" TargetMode="External"/><Relationship Id="rId12" Type="http://schemas.openxmlformats.org/officeDocument/2006/relationships/hyperlink" Target="https://pubmed.ncbi.nlm.nih.gov/?term=Maraqa%2BL&amp;cauthor_id=35327772" TargetMode="External"/><Relationship Id="rId13" Type="http://schemas.openxmlformats.org/officeDocument/2006/relationships/hyperlink" Target="https://pubmed.ncbi.nlm.nih.gov/?term=Nemri%2BO&amp;cauthor_id=35327772" TargetMode="External"/><Relationship Id="rId14" Type="http://schemas.openxmlformats.org/officeDocument/2006/relationships/hyperlink" Target="https://pubmed.ncbi.nlm.nih.gov/?term=Al-Jawaldeh%2BH&amp;cauthor_id=35327772" TargetMode="External"/><Relationship Id="rId15" Type="http://schemas.openxmlformats.org/officeDocument/2006/relationships/hyperlink" Target="https://pubmed.ncbi.nlm.nih.gov/?term=Kopti%2BN&amp;cauthor_id=35327772" TargetMode="External"/><Relationship Id="rId16" Type="http://schemas.openxmlformats.org/officeDocument/2006/relationships/hyperlink" Target="https://pubmed.ncbi.nlm.nih.gov/?term=Atieh%2BE&amp;cauthor_id=35327772" TargetMode="External"/><Relationship Id="rId17" Type="http://schemas.openxmlformats.org/officeDocument/2006/relationships/hyperlink" Target="https://pubmed.ncbi.nlm.nih.gov/?term=Almasri%2BA&amp;cauthor_id=35327772" TargetMode="External"/><Relationship Id="rId18" Type="http://schemas.openxmlformats.org/officeDocument/2006/relationships/hyperlink" Target="http://www.ncbi.nlm.nih.gov/pmc/articles/pmc8947754/" TargetMode="External"/><Relationship Id="rId19" Type="http://schemas.openxmlformats.org/officeDocument/2006/relationships/hyperlink" Target="https://doi.org/10.3390/children9030402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2023-04-27T09:30:40Z</dcterms:created>
  <dcterms:modified xsi:type="dcterms:W3CDTF">2023-04-27T09:30:40Z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