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6F5" w:rsidRDefault="00C828FC" w:rsidP="00C828FC">
      <w:pPr>
        <w:pStyle w:val="BodyText"/>
        <w:spacing w:before="73" w:line="276" w:lineRule="auto"/>
        <w:ind w:left="100" w:right="625"/>
        <w:jc w:val="both"/>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C</w:t>
      </w:r>
      <w:r w:rsidR="005806F5" w:rsidRPr="005806F5">
        <w:rPr>
          <w:rFonts w:ascii="Minion Pro" w:eastAsia="Minion Pro" w:hAnsi="Minion Pro" w:cs="Minion Pro"/>
          <w:b/>
          <w:bCs/>
          <w:color w:val="337AB7"/>
          <w:sz w:val="36"/>
          <w:szCs w:val="36"/>
        </w:rPr>
        <w:t>omposition</w:t>
      </w:r>
      <w:r>
        <w:rPr>
          <w:rFonts w:ascii="Minion Pro" w:eastAsia="Minion Pro" w:hAnsi="Minion Pro" w:cs="Minion Pro"/>
          <w:b/>
          <w:bCs/>
          <w:color w:val="337AB7"/>
          <w:sz w:val="36"/>
          <w:szCs w:val="36"/>
        </w:rPr>
        <w:t>al</w:t>
      </w:r>
      <w:r w:rsidR="005806F5" w:rsidRPr="005806F5">
        <w:rPr>
          <w:rFonts w:ascii="Minion Pro" w:eastAsia="Minion Pro" w:hAnsi="Minion Pro" w:cs="Minion Pro"/>
          <w:b/>
          <w:bCs/>
          <w:color w:val="337AB7"/>
          <w:sz w:val="36"/>
          <w:szCs w:val="36"/>
        </w:rPr>
        <w:t xml:space="preserve"> </w:t>
      </w:r>
      <w:r>
        <w:rPr>
          <w:rFonts w:ascii="Minion Pro" w:eastAsia="Minion Pro" w:hAnsi="Minion Pro" w:cs="Minion Pro"/>
          <w:b/>
          <w:bCs/>
          <w:color w:val="337AB7"/>
          <w:sz w:val="36"/>
          <w:szCs w:val="36"/>
        </w:rPr>
        <w:t>variances in cuticular lipids of wild and domesticated barley leaves and their impact on plant-environment interactions</w:t>
      </w:r>
    </w:p>
    <w:p w:rsidR="005806F5" w:rsidRDefault="005806F5" w:rsidP="005806F5">
      <w:pPr>
        <w:pStyle w:val="BodyText"/>
        <w:spacing w:before="73" w:line="276" w:lineRule="auto"/>
        <w:ind w:left="100" w:right="625"/>
        <w:rPr>
          <w:rFonts w:ascii="Minion Pro" w:eastAsia="Minion Pro" w:hAnsi="Minion Pro" w:cs="Minion Pro"/>
          <w:b/>
          <w:bCs/>
          <w:color w:val="337AB7"/>
          <w:sz w:val="36"/>
          <w:szCs w:val="36"/>
        </w:rPr>
      </w:pPr>
    </w:p>
    <w:p w:rsidR="005806F5" w:rsidRDefault="005806F5" w:rsidP="005806F5">
      <w:pPr>
        <w:pStyle w:val="BodyText"/>
        <w:ind w:left="142"/>
        <w:rPr>
          <w:rFonts w:ascii="Arial"/>
        </w:rPr>
      </w:pPr>
      <w:r w:rsidRPr="005806F5">
        <w:rPr>
          <w:rFonts w:ascii="Arial"/>
        </w:rPr>
        <w:t xml:space="preserve">Department of Vegetable and Field Crops, Institute of Plant Sciences, </w:t>
      </w:r>
    </w:p>
    <w:p w:rsidR="00AE3E37" w:rsidRDefault="005806F5" w:rsidP="005806F5">
      <w:pPr>
        <w:pStyle w:val="BodyText"/>
        <w:ind w:left="142"/>
        <w:rPr>
          <w:rFonts w:ascii="Arial"/>
          <w:sz w:val="20"/>
        </w:rPr>
      </w:pPr>
      <w:r w:rsidRPr="005806F5">
        <w:rPr>
          <w:rFonts w:ascii="Arial"/>
        </w:rPr>
        <w:t xml:space="preserve">Agricultural Research Organization (ARO), Volcani Center, </w:t>
      </w:r>
      <w:proofErr w:type="spellStart"/>
      <w:r w:rsidRPr="005806F5">
        <w:rPr>
          <w:rFonts w:ascii="Arial"/>
        </w:rPr>
        <w:t>Rishon</w:t>
      </w:r>
      <w:proofErr w:type="spellEnd"/>
      <w:r w:rsidRPr="005806F5">
        <w:rPr>
          <w:rFonts w:ascii="Arial"/>
        </w:rPr>
        <w:t xml:space="preserve"> </w:t>
      </w:r>
      <w:proofErr w:type="spellStart"/>
      <w:r w:rsidRPr="005806F5">
        <w:rPr>
          <w:rFonts w:ascii="Arial"/>
        </w:rPr>
        <w:t>LeZion</w:t>
      </w:r>
      <w:proofErr w:type="spellEnd"/>
      <w:r w:rsidRPr="005806F5">
        <w:rPr>
          <w:rFonts w:ascii="Arial"/>
        </w:rPr>
        <w:t>, Israel.</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C828FC" w:rsidRPr="00C828FC" w:rsidRDefault="00C828FC" w:rsidP="00C828FC">
      <w:pPr>
        <w:jc w:val="both"/>
        <w:rPr>
          <w:rFonts w:cstheme="minorHAnsi"/>
          <w:color w:val="000000"/>
          <w:sz w:val="18"/>
          <w:szCs w:val="18"/>
        </w:rPr>
      </w:pPr>
      <w:r w:rsidRPr="00C828FC">
        <w:rPr>
          <w:rFonts w:cstheme="minorHAnsi"/>
          <w:sz w:val="18"/>
          <w:szCs w:val="18"/>
        </w:rPr>
        <w:t xml:space="preserve">One of the oldest cereal crops, barley is thought to have been domesticated around 8,000 years ago, in the Fertile Crescent. In this study, we explore the understudied contribution of cuticular lipid metabolism to barley domestication. We performed </w:t>
      </w:r>
      <w:r w:rsidRPr="00C828FC">
        <w:rPr>
          <w:rFonts w:cstheme="minorHAnsi"/>
          <w:sz w:val="18"/>
          <w:szCs w:val="18"/>
          <w:lang w:val="en-GB"/>
        </w:rPr>
        <w:t xml:space="preserve">comparative analysis of wild and domesticated barley cultivars’ leaf cuticle morphology and chemistry combined with phenotypic characterization, multiple microscopical approaches, </w:t>
      </w:r>
      <w:r w:rsidRPr="00C828FC">
        <w:rPr>
          <w:rFonts w:cstheme="minorHAnsi"/>
          <w:sz w:val="18"/>
          <w:szCs w:val="18"/>
        </w:rPr>
        <w:t xml:space="preserve">gas chromatography-mass spectrometry (GC-MS) metabolite profiling, transcript expression analyses, and Li-6800 measurements of leaf gas exchange capacities. In addition, we conducted a series of inoculation assays with </w:t>
      </w:r>
      <w:proofErr w:type="spellStart"/>
      <w:r w:rsidRPr="00C828FC">
        <w:rPr>
          <w:rFonts w:cstheme="minorHAnsi"/>
          <w:i/>
          <w:iCs/>
          <w:sz w:val="18"/>
          <w:szCs w:val="18"/>
        </w:rPr>
        <w:t>Blumeria</w:t>
      </w:r>
      <w:proofErr w:type="spellEnd"/>
      <w:r w:rsidRPr="00C828FC">
        <w:rPr>
          <w:rFonts w:cstheme="minorHAnsi"/>
          <w:i/>
          <w:iCs/>
          <w:sz w:val="18"/>
          <w:szCs w:val="18"/>
        </w:rPr>
        <w:t xml:space="preserve"> </w:t>
      </w:r>
      <w:proofErr w:type="spellStart"/>
      <w:r w:rsidRPr="00C828FC">
        <w:rPr>
          <w:rFonts w:cstheme="minorHAnsi"/>
          <w:i/>
          <w:iCs/>
          <w:sz w:val="18"/>
          <w:szCs w:val="18"/>
        </w:rPr>
        <w:t>graminis</w:t>
      </w:r>
      <w:proofErr w:type="spellEnd"/>
      <w:r w:rsidRPr="00C828FC">
        <w:rPr>
          <w:rFonts w:cstheme="minorHAnsi"/>
          <w:i/>
          <w:iCs/>
          <w:sz w:val="18"/>
          <w:szCs w:val="18"/>
        </w:rPr>
        <w:t xml:space="preserve"> </w:t>
      </w:r>
      <w:proofErr w:type="spellStart"/>
      <w:r w:rsidRPr="00C828FC">
        <w:rPr>
          <w:rFonts w:cstheme="minorHAnsi"/>
          <w:sz w:val="18"/>
          <w:szCs w:val="18"/>
        </w:rPr>
        <w:t>f.sp</w:t>
      </w:r>
      <w:proofErr w:type="spellEnd"/>
      <w:r w:rsidRPr="00C828FC">
        <w:rPr>
          <w:rFonts w:cstheme="minorHAnsi"/>
          <w:sz w:val="18"/>
          <w:szCs w:val="18"/>
        </w:rPr>
        <w:t>.</w:t>
      </w:r>
      <w:r w:rsidRPr="00C828FC">
        <w:rPr>
          <w:rFonts w:cstheme="minorHAnsi"/>
          <w:i/>
          <w:iCs/>
          <w:sz w:val="18"/>
          <w:szCs w:val="18"/>
        </w:rPr>
        <w:t xml:space="preserve"> </w:t>
      </w:r>
      <w:proofErr w:type="spellStart"/>
      <w:r w:rsidRPr="00C828FC">
        <w:rPr>
          <w:rFonts w:cstheme="minorHAnsi"/>
          <w:i/>
          <w:iCs/>
          <w:sz w:val="18"/>
          <w:szCs w:val="18"/>
        </w:rPr>
        <w:t>hordei</w:t>
      </w:r>
      <w:proofErr w:type="spellEnd"/>
      <w:r w:rsidRPr="00C828FC">
        <w:rPr>
          <w:rFonts w:cstheme="minorHAnsi"/>
          <w:i/>
          <w:iCs/>
          <w:sz w:val="18"/>
          <w:szCs w:val="18"/>
        </w:rPr>
        <w:t xml:space="preserve"> </w:t>
      </w:r>
      <w:r w:rsidRPr="00C828FC">
        <w:rPr>
          <w:rFonts w:cstheme="minorHAnsi"/>
          <w:sz w:val="18"/>
          <w:szCs w:val="18"/>
        </w:rPr>
        <w:t>(</w:t>
      </w:r>
      <w:proofErr w:type="spellStart"/>
      <w:r w:rsidRPr="00C828FC">
        <w:rPr>
          <w:rFonts w:cstheme="minorHAnsi"/>
          <w:i/>
          <w:iCs/>
          <w:sz w:val="18"/>
          <w:szCs w:val="18"/>
        </w:rPr>
        <w:t>Bgh</w:t>
      </w:r>
      <w:proofErr w:type="spellEnd"/>
      <w:r w:rsidRPr="00C828FC">
        <w:rPr>
          <w:rFonts w:cstheme="minorHAnsi"/>
          <w:sz w:val="18"/>
          <w:szCs w:val="18"/>
        </w:rPr>
        <w:t xml:space="preserve">), the causal agent of powdery mildew in barely. The </w:t>
      </w:r>
      <w:r w:rsidRPr="00C828FC">
        <w:rPr>
          <w:rFonts w:cstheme="minorHAnsi"/>
          <w:sz w:val="18"/>
          <w:szCs w:val="18"/>
          <w:lang w:val="en-GB"/>
        </w:rPr>
        <w:t>results indicate that the leaves of wild barley are more densely covered with epicuticular waxes compared to domesticated leaves with distinct compositions, but both variants contain a similar cuticle ultrastructure.</w:t>
      </w:r>
      <w:r w:rsidRPr="00C828FC">
        <w:rPr>
          <w:rFonts w:cstheme="minorHAnsi"/>
          <w:sz w:val="18"/>
          <w:szCs w:val="18"/>
        </w:rPr>
        <w:t xml:space="preserve"> This variance, along with different leaf stomata densities, leads to distinct gas exchange capacities. Our data suggest that </w:t>
      </w:r>
      <w:r w:rsidRPr="00C828FC">
        <w:rPr>
          <w:rFonts w:cstheme="minorHAnsi"/>
          <w:color w:val="000000"/>
          <w:sz w:val="18"/>
          <w:szCs w:val="18"/>
        </w:rPr>
        <w:t xml:space="preserve">the disparate wax content and composition between the varieties has no apparent effect on the </w:t>
      </w:r>
      <w:proofErr w:type="spellStart"/>
      <w:r w:rsidRPr="00C828FC">
        <w:rPr>
          <w:rFonts w:cstheme="minorHAnsi"/>
          <w:i/>
          <w:iCs/>
          <w:color w:val="000000"/>
          <w:sz w:val="18"/>
          <w:szCs w:val="18"/>
        </w:rPr>
        <w:t>Bgh</w:t>
      </w:r>
      <w:proofErr w:type="spellEnd"/>
      <w:r w:rsidRPr="00C828FC">
        <w:rPr>
          <w:rFonts w:cstheme="minorHAnsi"/>
          <w:sz w:val="18"/>
          <w:szCs w:val="18"/>
        </w:rPr>
        <w:t xml:space="preserve"> pre-penetration processes</w:t>
      </w:r>
      <w:r w:rsidRPr="00C828FC">
        <w:rPr>
          <w:rFonts w:cstheme="minorHAnsi"/>
          <w:color w:val="000000"/>
          <w:sz w:val="18"/>
          <w:szCs w:val="18"/>
        </w:rPr>
        <w:t xml:space="preserve">. overall, the results provide novel insight into the </w:t>
      </w:r>
      <w:r w:rsidRPr="00C828FC">
        <w:rPr>
          <w:rFonts w:cstheme="minorHAnsi"/>
          <w:sz w:val="18"/>
          <w:szCs w:val="18"/>
        </w:rPr>
        <w:t>compositional variances in cuticular lipids of wild and domesticated barley leaves and their impact on plant-environment interactions</w:t>
      </w:r>
      <w:r w:rsidRPr="00C828FC">
        <w:rPr>
          <w:rFonts w:cstheme="minorHAnsi"/>
          <w:color w:val="000000"/>
          <w:sz w:val="18"/>
          <w:szCs w:val="18"/>
        </w:rPr>
        <w:t xml:space="preserve">. </w:t>
      </w:r>
    </w:p>
    <w:p w:rsidR="00C828FC" w:rsidRDefault="005806F5" w:rsidP="00C828FC">
      <w:pPr>
        <w:pStyle w:val="Heading3"/>
        <w:spacing w:before="74"/>
        <w:jc w:val="both"/>
        <w:rPr>
          <w:rFonts w:ascii="Tw Cen MT" w:eastAsia="Tw Cen MT" w:hAnsi="Tw Cen MT" w:cs="Tw Cen MT"/>
          <w:b w:val="0"/>
          <w:bCs w:val="0"/>
          <w:sz w:val="18"/>
          <w:szCs w:val="18"/>
        </w:rPr>
      </w:pPr>
      <w:r w:rsidRPr="005806F5">
        <w:rPr>
          <w:rFonts w:ascii="Tw Cen MT" w:eastAsia="Tw Cen MT" w:hAnsi="Tw Cen MT" w:cs="Tw Cen MT"/>
          <w:b w:val="0"/>
          <w:bCs w:val="0"/>
          <w:sz w:val="18"/>
          <w:szCs w:val="18"/>
        </w:rPr>
        <w:t xml:space="preserve"> </w:t>
      </w:r>
    </w:p>
    <w:p w:rsidR="00C828FC" w:rsidRDefault="00C828FC" w:rsidP="00C828FC">
      <w:pPr>
        <w:pStyle w:val="Heading3"/>
        <w:spacing w:before="74"/>
        <w:jc w:val="both"/>
        <w:rPr>
          <w:rFonts w:ascii="Tw Cen MT" w:eastAsia="Tw Cen MT" w:hAnsi="Tw Cen MT" w:cs="Tw Cen MT"/>
          <w:b w:val="0"/>
          <w:bCs w:val="0"/>
          <w:sz w:val="18"/>
          <w:szCs w:val="18"/>
        </w:rPr>
      </w:pPr>
    </w:p>
    <w:p w:rsidR="005973B9" w:rsidRDefault="00A9710C" w:rsidP="00C828FC">
      <w:pPr>
        <w:pStyle w:val="Heading3"/>
        <w:spacing w:before="74"/>
        <w:jc w:val="both"/>
        <w:rPr>
          <w:b w:val="0"/>
        </w:rPr>
      </w:pPr>
      <w:r>
        <w:rPr>
          <w:b w:val="0"/>
        </w:rPr>
        <w:br w:type="column"/>
      </w:r>
      <w:r w:rsidR="005973B9">
        <w:rPr>
          <w:color w:val="BF5A14"/>
        </w:rPr>
        <w:lastRenderedPageBreak/>
        <w:br/>
        <w:t>Recent Publications</w:t>
      </w:r>
    </w:p>
    <w:p w:rsidR="005806F5" w:rsidRPr="00EC5C1C" w:rsidRDefault="005806F5" w:rsidP="005806F5">
      <w:pPr>
        <w:pStyle w:val="ListParagraph"/>
        <w:widowControl/>
        <w:numPr>
          <w:ilvl w:val="0"/>
          <w:numId w:val="4"/>
        </w:numPr>
        <w:tabs>
          <w:tab w:val="right" w:pos="8789"/>
        </w:tabs>
        <w:spacing w:after="120"/>
        <w:ind w:left="426" w:hanging="284"/>
        <w:contextualSpacing/>
        <w:rPr>
          <w:rFonts w:asciiTheme="minorHAnsi" w:hAnsiTheme="minorHAnsi" w:cstheme="minorHAnsi"/>
          <w:sz w:val="18"/>
          <w:szCs w:val="18"/>
        </w:rPr>
      </w:pPr>
      <w:r w:rsidRPr="00EC5C1C">
        <w:rPr>
          <w:rFonts w:asciiTheme="minorHAnsi" w:hAnsiTheme="minorHAnsi" w:cstheme="minorHAnsi"/>
          <w:b/>
          <w:bCs/>
          <w:sz w:val="18"/>
          <w:szCs w:val="18"/>
        </w:rPr>
        <w:t>Cohen H</w:t>
      </w:r>
      <w:r w:rsidRPr="00EC5C1C">
        <w:rPr>
          <w:rFonts w:asciiTheme="minorHAnsi" w:hAnsiTheme="minorHAnsi" w:cstheme="minorHAnsi"/>
          <w:sz w:val="18"/>
          <w:szCs w:val="18"/>
        </w:rPr>
        <w:t>, Szymanski J, Aharoni A (2017) Assimilation of ‘omics’ strategies to study the cuticle layer and suberin lamellae in plants.</w:t>
      </w:r>
      <w:r w:rsidRPr="00EC5C1C">
        <w:rPr>
          <w:rFonts w:asciiTheme="minorHAnsi" w:hAnsiTheme="minorHAnsi" w:cstheme="minorHAnsi"/>
          <w:i/>
          <w:iCs/>
          <w:sz w:val="18"/>
          <w:szCs w:val="18"/>
        </w:rPr>
        <w:t xml:space="preserve"> Journal of Experimental Botany</w:t>
      </w:r>
      <w:r w:rsidRPr="00EC5C1C">
        <w:rPr>
          <w:rFonts w:asciiTheme="minorHAnsi" w:hAnsiTheme="minorHAnsi" w:cstheme="minorHAnsi"/>
          <w:sz w:val="18"/>
          <w:szCs w:val="18"/>
        </w:rPr>
        <w:t xml:space="preserve"> 68:5389-5400. </w:t>
      </w:r>
    </w:p>
    <w:p w:rsidR="005806F5" w:rsidRPr="00EC5C1C" w:rsidRDefault="005806F5" w:rsidP="005806F5">
      <w:pPr>
        <w:pStyle w:val="ListParagraph"/>
        <w:numPr>
          <w:ilvl w:val="0"/>
          <w:numId w:val="4"/>
        </w:numPr>
        <w:spacing w:before="120" w:after="120" w:line="240" w:lineRule="auto"/>
        <w:ind w:left="426" w:hanging="284"/>
        <w:contextualSpacing/>
        <w:rPr>
          <w:rFonts w:asciiTheme="minorHAnsi" w:hAnsiTheme="minorHAnsi" w:cstheme="minorHAnsi"/>
          <w:sz w:val="18"/>
          <w:szCs w:val="18"/>
        </w:rPr>
      </w:pPr>
      <w:r w:rsidRPr="00EC5C1C">
        <w:rPr>
          <w:rFonts w:asciiTheme="minorHAnsi" w:hAnsiTheme="minorHAnsi" w:cstheme="minorHAnsi"/>
          <w:b/>
          <w:bCs/>
          <w:sz w:val="18"/>
          <w:szCs w:val="18"/>
        </w:rPr>
        <w:t>Cohen H</w:t>
      </w:r>
      <w:r w:rsidRPr="00EC5C1C">
        <w:rPr>
          <w:rFonts w:asciiTheme="minorHAnsi" w:hAnsiTheme="minorHAnsi" w:cstheme="minorHAnsi"/>
          <w:sz w:val="18"/>
          <w:szCs w:val="18"/>
        </w:rPr>
        <w:t xml:space="preserve">, Dong Y, Szymanski J, Lashbrooke J, Meir S, Almekias-Siegl E, Zeisler-Diehl VV, Schreiber L, Aharoni A (2019) A multilevel study of melon fruit reticulation provides insight to skin </w:t>
      </w:r>
      <w:proofErr w:type="spellStart"/>
      <w:r w:rsidRPr="00EC5C1C">
        <w:rPr>
          <w:rFonts w:asciiTheme="minorHAnsi" w:hAnsiTheme="minorHAnsi" w:cstheme="minorHAnsi"/>
          <w:sz w:val="18"/>
          <w:szCs w:val="18"/>
        </w:rPr>
        <w:t>ligno</w:t>
      </w:r>
      <w:proofErr w:type="spellEnd"/>
      <w:r w:rsidRPr="00EC5C1C">
        <w:rPr>
          <w:rFonts w:asciiTheme="minorHAnsi" w:hAnsiTheme="minorHAnsi" w:cstheme="minorHAnsi"/>
          <w:sz w:val="18"/>
          <w:szCs w:val="18"/>
        </w:rPr>
        <w:t>-suberization hallmarks.</w:t>
      </w:r>
      <w:r w:rsidRPr="00EC5C1C">
        <w:rPr>
          <w:rFonts w:asciiTheme="minorHAnsi" w:hAnsiTheme="minorHAnsi" w:cstheme="minorHAnsi"/>
          <w:sz w:val="18"/>
          <w:szCs w:val="18"/>
          <w:rtl/>
          <w:lang w:bidi="he-IL"/>
        </w:rPr>
        <w:t xml:space="preserve"> </w:t>
      </w:r>
      <w:r w:rsidRPr="00EC5C1C">
        <w:rPr>
          <w:rFonts w:asciiTheme="minorHAnsi" w:hAnsiTheme="minorHAnsi" w:cstheme="minorHAnsi"/>
          <w:sz w:val="18"/>
          <w:szCs w:val="18"/>
          <w:lang w:bidi="he-IL"/>
        </w:rPr>
        <w:t xml:space="preserve"> </w:t>
      </w:r>
      <w:r w:rsidRPr="00EC5C1C">
        <w:rPr>
          <w:rFonts w:asciiTheme="minorHAnsi" w:hAnsiTheme="minorHAnsi" w:cstheme="minorHAnsi"/>
          <w:i/>
          <w:iCs/>
          <w:sz w:val="18"/>
          <w:szCs w:val="18"/>
        </w:rPr>
        <w:t>Plant Physiology</w:t>
      </w:r>
      <w:r w:rsidRPr="00EC5C1C">
        <w:rPr>
          <w:rFonts w:asciiTheme="minorHAnsi" w:hAnsiTheme="minorHAnsi" w:cstheme="minorHAnsi"/>
          <w:sz w:val="18"/>
          <w:szCs w:val="18"/>
        </w:rPr>
        <w:t xml:space="preserve"> 179:1486-1501. </w:t>
      </w:r>
    </w:p>
    <w:p w:rsidR="005806F5" w:rsidRPr="00EC5C1C" w:rsidRDefault="005806F5" w:rsidP="005806F5">
      <w:pPr>
        <w:pStyle w:val="ListParagraph"/>
        <w:widowControl/>
        <w:numPr>
          <w:ilvl w:val="0"/>
          <w:numId w:val="4"/>
        </w:numPr>
        <w:spacing w:before="120" w:after="120"/>
        <w:ind w:left="426" w:hanging="284"/>
        <w:contextualSpacing/>
        <w:rPr>
          <w:rFonts w:asciiTheme="minorHAnsi" w:hAnsiTheme="minorHAnsi" w:cstheme="minorHAnsi"/>
          <w:sz w:val="18"/>
          <w:szCs w:val="18"/>
        </w:rPr>
      </w:pPr>
      <w:r w:rsidRPr="00EC5C1C">
        <w:rPr>
          <w:rFonts w:asciiTheme="minorHAnsi" w:hAnsiTheme="minorHAnsi" w:cstheme="minorHAnsi"/>
          <w:b/>
          <w:bCs/>
          <w:sz w:val="18"/>
          <w:szCs w:val="18"/>
        </w:rPr>
        <w:t>Cohen H</w:t>
      </w:r>
      <w:r w:rsidRPr="00EC5C1C">
        <w:rPr>
          <w:rFonts w:asciiTheme="minorHAnsi" w:hAnsiTheme="minorHAnsi" w:cstheme="minorHAnsi"/>
          <w:sz w:val="18"/>
          <w:szCs w:val="18"/>
        </w:rPr>
        <w:t xml:space="preserve">, Fedyuk V, Wang C, Wu S, Aharoni A (2020) SUBERMAN regulates developmental suberization of the Arabidopsis root endodermis. </w:t>
      </w:r>
      <w:r w:rsidRPr="00EC5C1C">
        <w:rPr>
          <w:rFonts w:asciiTheme="minorHAnsi" w:hAnsiTheme="minorHAnsi" w:cstheme="minorHAnsi"/>
          <w:i/>
          <w:iCs/>
          <w:sz w:val="18"/>
          <w:szCs w:val="18"/>
        </w:rPr>
        <w:t>Plant Journal</w:t>
      </w:r>
      <w:r w:rsidRPr="00EC5C1C">
        <w:rPr>
          <w:rFonts w:asciiTheme="minorHAnsi" w:hAnsiTheme="minorHAnsi" w:cstheme="minorHAnsi"/>
          <w:sz w:val="18"/>
          <w:szCs w:val="18"/>
        </w:rPr>
        <w:t xml:space="preserve"> 102:431-447.</w:t>
      </w:r>
    </w:p>
    <w:p w:rsidR="005806F5" w:rsidRPr="00EC5C1C" w:rsidRDefault="005806F5" w:rsidP="005806F5">
      <w:pPr>
        <w:pStyle w:val="ListParagraph"/>
        <w:widowControl/>
        <w:numPr>
          <w:ilvl w:val="0"/>
          <w:numId w:val="4"/>
        </w:numPr>
        <w:spacing w:before="120" w:after="120"/>
        <w:ind w:left="426" w:hanging="284"/>
        <w:contextualSpacing/>
        <w:rPr>
          <w:rFonts w:asciiTheme="minorHAnsi" w:hAnsiTheme="minorHAnsi" w:cstheme="minorHAnsi"/>
          <w:sz w:val="18"/>
          <w:szCs w:val="18"/>
        </w:rPr>
      </w:pPr>
      <w:r w:rsidRPr="00EC5C1C">
        <w:rPr>
          <w:rFonts w:asciiTheme="minorHAnsi" w:hAnsiTheme="minorHAnsi" w:cstheme="minorHAnsi"/>
          <w:sz w:val="18"/>
          <w:szCs w:val="18"/>
        </w:rPr>
        <w:t xml:space="preserve">Wang C, Wang H, Li P, Li H, Xu C, </w:t>
      </w:r>
      <w:r w:rsidRPr="00EC5C1C">
        <w:rPr>
          <w:rFonts w:asciiTheme="minorHAnsi" w:hAnsiTheme="minorHAnsi" w:cstheme="minorHAnsi"/>
          <w:b/>
          <w:bCs/>
          <w:sz w:val="18"/>
          <w:szCs w:val="18"/>
        </w:rPr>
        <w:t>Cohen H</w:t>
      </w:r>
      <w:r w:rsidRPr="00EC5C1C">
        <w:rPr>
          <w:rFonts w:asciiTheme="minorHAnsi" w:hAnsiTheme="minorHAnsi" w:cstheme="minorHAnsi"/>
          <w:sz w:val="18"/>
          <w:szCs w:val="18"/>
        </w:rPr>
        <w:t xml:space="preserve">, Aharoni A, Wu S (2020) Developmental programs interplay with ABA to coordinate root suberization in Arabidopsis. </w:t>
      </w:r>
      <w:r w:rsidRPr="00EC5C1C">
        <w:rPr>
          <w:rFonts w:asciiTheme="minorHAnsi" w:hAnsiTheme="minorHAnsi" w:cstheme="minorHAnsi"/>
          <w:i/>
          <w:iCs/>
          <w:sz w:val="18"/>
          <w:szCs w:val="18"/>
        </w:rPr>
        <w:t>Plant Journal</w:t>
      </w:r>
      <w:r w:rsidRPr="00EC5C1C">
        <w:rPr>
          <w:rFonts w:asciiTheme="minorHAnsi" w:hAnsiTheme="minorHAnsi" w:cstheme="minorHAnsi"/>
          <w:sz w:val="18"/>
          <w:szCs w:val="18"/>
        </w:rPr>
        <w:t xml:space="preserve"> 104:241-251.</w:t>
      </w:r>
    </w:p>
    <w:p w:rsidR="005806F5" w:rsidRPr="00EC5C1C" w:rsidRDefault="005806F5" w:rsidP="005806F5">
      <w:pPr>
        <w:pStyle w:val="ListParagraph"/>
        <w:widowControl/>
        <w:numPr>
          <w:ilvl w:val="0"/>
          <w:numId w:val="4"/>
        </w:numPr>
        <w:spacing w:before="120" w:after="120"/>
        <w:ind w:left="426" w:hanging="284"/>
        <w:contextualSpacing/>
        <w:rPr>
          <w:rFonts w:asciiTheme="minorHAnsi" w:hAnsiTheme="minorHAnsi" w:cstheme="minorHAnsi"/>
          <w:sz w:val="18"/>
          <w:szCs w:val="18"/>
        </w:rPr>
      </w:pPr>
      <w:r w:rsidRPr="00EC5C1C">
        <w:rPr>
          <w:rFonts w:asciiTheme="minorHAnsi" w:hAnsiTheme="minorHAnsi" w:cstheme="minorHAnsi"/>
          <w:sz w:val="18"/>
          <w:szCs w:val="18"/>
        </w:rPr>
        <w:t xml:space="preserve">Dong Y, Sonawane P, </w:t>
      </w:r>
      <w:r w:rsidRPr="00EC5C1C">
        <w:rPr>
          <w:rFonts w:asciiTheme="minorHAnsi" w:hAnsiTheme="minorHAnsi" w:cstheme="minorHAnsi"/>
          <w:b/>
          <w:bCs/>
          <w:sz w:val="18"/>
          <w:szCs w:val="18"/>
        </w:rPr>
        <w:t>Cohen H</w:t>
      </w:r>
      <w:r w:rsidRPr="00EC5C1C">
        <w:rPr>
          <w:rFonts w:asciiTheme="minorHAnsi" w:hAnsiTheme="minorHAnsi" w:cstheme="minorHAnsi"/>
          <w:sz w:val="18"/>
          <w:szCs w:val="18"/>
        </w:rPr>
        <w:t xml:space="preserve">, Polturak G, Feldberg L, Avivi S, Rogachev I, Aharoni A (2020) High-resolution, spatial metabolite mapping enhances the current plant gene and pathway discovery toolbox. </w:t>
      </w:r>
      <w:r w:rsidRPr="00EC5C1C">
        <w:rPr>
          <w:rFonts w:asciiTheme="minorHAnsi" w:hAnsiTheme="minorHAnsi" w:cstheme="minorHAnsi"/>
          <w:i/>
          <w:iCs/>
          <w:sz w:val="18"/>
          <w:szCs w:val="18"/>
        </w:rPr>
        <w:t xml:space="preserve">New </w:t>
      </w:r>
      <w:proofErr w:type="spellStart"/>
      <w:r w:rsidRPr="00EC5C1C">
        <w:rPr>
          <w:rFonts w:asciiTheme="minorHAnsi" w:hAnsiTheme="minorHAnsi" w:cstheme="minorHAnsi"/>
          <w:i/>
          <w:iCs/>
          <w:sz w:val="18"/>
          <w:szCs w:val="18"/>
        </w:rPr>
        <w:t>Phytologist</w:t>
      </w:r>
      <w:proofErr w:type="spellEnd"/>
      <w:r w:rsidRPr="00EC5C1C">
        <w:rPr>
          <w:rFonts w:asciiTheme="minorHAnsi" w:hAnsiTheme="minorHAnsi" w:cstheme="minorHAnsi"/>
          <w:sz w:val="18"/>
          <w:szCs w:val="18"/>
        </w:rPr>
        <w:t xml:space="preserve"> 228:1986-2002. </w:t>
      </w:r>
    </w:p>
    <w:p w:rsidR="005806F5" w:rsidRPr="00EC5C1C" w:rsidRDefault="005806F5" w:rsidP="005806F5">
      <w:pPr>
        <w:pStyle w:val="ListParagraph"/>
        <w:widowControl/>
        <w:numPr>
          <w:ilvl w:val="0"/>
          <w:numId w:val="4"/>
        </w:numPr>
        <w:tabs>
          <w:tab w:val="right" w:pos="8789"/>
        </w:tabs>
        <w:spacing w:after="120"/>
        <w:ind w:left="426" w:hanging="284"/>
        <w:contextualSpacing/>
        <w:rPr>
          <w:rFonts w:asciiTheme="minorHAnsi" w:hAnsiTheme="minorHAnsi" w:cstheme="minorHAnsi"/>
          <w:sz w:val="18"/>
          <w:szCs w:val="18"/>
        </w:rPr>
      </w:pPr>
      <w:r w:rsidRPr="00EC5C1C">
        <w:rPr>
          <w:rFonts w:asciiTheme="minorHAnsi" w:hAnsiTheme="minorHAnsi" w:cstheme="minorHAnsi"/>
          <w:sz w:val="18"/>
          <w:szCs w:val="18"/>
        </w:rPr>
        <w:t xml:space="preserve">Arya GC, Sarkar S, </w:t>
      </w:r>
      <w:proofErr w:type="spellStart"/>
      <w:r w:rsidRPr="00EC5C1C">
        <w:rPr>
          <w:rFonts w:asciiTheme="minorHAnsi" w:hAnsiTheme="minorHAnsi" w:cstheme="minorHAnsi"/>
          <w:sz w:val="18"/>
          <w:szCs w:val="18"/>
        </w:rPr>
        <w:t>Manasherova</w:t>
      </w:r>
      <w:proofErr w:type="spellEnd"/>
      <w:r w:rsidRPr="00EC5C1C">
        <w:rPr>
          <w:rFonts w:asciiTheme="minorHAnsi" w:hAnsiTheme="minorHAnsi" w:cstheme="minorHAnsi"/>
          <w:sz w:val="18"/>
          <w:szCs w:val="18"/>
        </w:rPr>
        <w:t xml:space="preserve"> E, Aharoni A, </w:t>
      </w:r>
      <w:r w:rsidRPr="00EC5C1C">
        <w:rPr>
          <w:rFonts w:asciiTheme="minorHAnsi" w:hAnsiTheme="minorHAnsi" w:cstheme="minorHAnsi"/>
          <w:b/>
          <w:bCs/>
          <w:sz w:val="18"/>
          <w:szCs w:val="18"/>
        </w:rPr>
        <w:t>Cohen H</w:t>
      </w:r>
      <w:r w:rsidRPr="00EC5C1C">
        <w:rPr>
          <w:rFonts w:asciiTheme="minorHAnsi" w:hAnsiTheme="minorHAnsi" w:cstheme="minorHAnsi"/>
          <w:sz w:val="18"/>
          <w:szCs w:val="18"/>
        </w:rPr>
        <w:t xml:space="preserve"> (2021) The plant cuticle: an ancient barrier set against long-standing rivals. </w:t>
      </w:r>
      <w:r w:rsidRPr="00EC5C1C">
        <w:rPr>
          <w:rFonts w:asciiTheme="minorHAnsi" w:hAnsiTheme="minorHAnsi" w:cstheme="minorHAnsi"/>
          <w:i/>
          <w:iCs/>
          <w:sz w:val="18"/>
          <w:szCs w:val="18"/>
        </w:rPr>
        <w:t>Frontiers in Plant Science</w:t>
      </w:r>
      <w:r w:rsidRPr="00EC5C1C">
        <w:rPr>
          <w:rFonts w:asciiTheme="minorHAnsi" w:hAnsiTheme="minorHAnsi" w:cstheme="minorHAnsi"/>
          <w:sz w:val="18"/>
          <w:szCs w:val="18"/>
        </w:rPr>
        <w:t xml:space="preserve"> </w:t>
      </w:r>
      <w:proofErr w:type="gramStart"/>
      <w:r w:rsidRPr="00EC5C1C">
        <w:rPr>
          <w:rFonts w:asciiTheme="minorHAnsi" w:hAnsiTheme="minorHAnsi" w:cstheme="minorHAnsi"/>
          <w:sz w:val="18"/>
          <w:szCs w:val="18"/>
        </w:rPr>
        <w:t>12:e</w:t>
      </w:r>
      <w:proofErr w:type="gramEnd"/>
      <w:r w:rsidRPr="00EC5C1C">
        <w:rPr>
          <w:rFonts w:asciiTheme="minorHAnsi" w:hAnsiTheme="minorHAnsi" w:cstheme="minorHAnsi"/>
          <w:sz w:val="18"/>
          <w:szCs w:val="18"/>
        </w:rPr>
        <w:t>663165.</w:t>
      </w:r>
    </w:p>
    <w:p w:rsidR="00833F89" w:rsidRDefault="00833F89" w:rsidP="00833F89">
      <w:pPr>
        <w:pStyle w:val="ListParagraph"/>
        <w:widowControl/>
        <w:numPr>
          <w:ilvl w:val="0"/>
          <w:numId w:val="4"/>
        </w:numPr>
        <w:spacing w:before="120" w:after="120"/>
        <w:ind w:left="426" w:hanging="284"/>
        <w:contextualSpacing/>
        <w:rPr>
          <w:rFonts w:asciiTheme="minorHAnsi" w:hAnsiTheme="minorHAnsi" w:cstheme="minorHAnsi"/>
          <w:sz w:val="18"/>
          <w:szCs w:val="18"/>
        </w:rPr>
      </w:pPr>
      <w:r>
        <w:rPr>
          <w:rFonts w:asciiTheme="minorHAnsi" w:hAnsiTheme="minorHAnsi" w:cstheme="minorHAnsi"/>
          <w:sz w:val="18"/>
          <w:szCs w:val="18"/>
        </w:rPr>
        <w:t xml:space="preserve">Arya GC, </w:t>
      </w:r>
      <w:r w:rsidR="005806F5" w:rsidRPr="00EC5C1C">
        <w:rPr>
          <w:rFonts w:asciiTheme="minorHAnsi" w:hAnsiTheme="minorHAnsi" w:cstheme="minorHAnsi"/>
          <w:b/>
          <w:bCs/>
          <w:sz w:val="18"/>
          <w:szCs w:val="18"/>
        </w:rPr>
        <w:t>Cohen H</w:t>
      </w:r>
      <w:r w:rsidR="005806F5" w:rsidRPr="00EC5C1C">
        <w:rPr>
          <w:rFonts w:asciiTheme="minorHAnsi" w:hAnsiTheme="minorHAnsi" w:cstheme="minorHAnsi"/>
          <w:sz w:val="18"/>
          <w:szCs w:val="18"/>
        </w:rPr>
        <w:t xml:space="preserve"> (202</w:t>
      </w:r>
      <w:r>
        <w:rPr>
          <w:rFonts w:asciiTheme="minorHAnsi" w:hAnsiTheme="minorHAnsi" w:cstheme="minorHAnsi"/>
          <w:sz w:val="18"/>
          <w:szCs w:val="18"/>
        </w:rPr>
        <w:t>2</w:t>
      </w:r>
      <w:r w:rsidR="005806F5" w:rsidRPr="00EC5C1C">
        <w:rPr>
          <w:rFonts w:asciiTheme="minorHAnsi" w:hAnsiTheme="minorHAnsi" w:cstheme="minorHAnsi"/>
          <w:sz w:val="18"/>
          <w:szCs w:val="18"/>
        </w:rPr>
        <w:t xml:space="preserve">) </w:t>
      </w:r>
      <w:r>
        <w:rPr>
          <w:rFonts w:asciiTheme="minorHAnsi" w:hAnsiTheme="minorHAnsi" w:cstheme="minorHAnsi"/>
          <w:sz w:val="18"/>
          <w:szCs w:val="18"/>
        </w:rPr>
        <w:t xml:space="preserve">The multifaceted roles of fungal cutinases during infection. </w:t>
      </w:r>
      <w:r>
        <w:rPr>
          <w:rFonts w:asciiTheme="minorHAnsi" w:hAnsiTheme="minorHAnsi" w:cstheme="minorHAnsi"/>
          <w:i/>
          <w:iCs/>
          <w:sz w:val="18"/>
          <w:szCs w:val="18"/>
        </w:rPr>
        <w:t>Journal of Fungi</w:t>
      </w:r>
      <w:r w:rsidR="005806F5" w:rsidRPr="00EC5C1C">
        <w:rPr>
          <w:rFonts w:asciiTheme="minorHAnsi" w:hAnsiTheme="minorHAnsi" w:cstheme="minorHAnsi"/>
          <w:i/>
          <w:iCs/>
          <w:sz w:val="18"/>
          <w:szCs w:val="18"/>
        </w:rPr>
        <w:t xml:space="preserve"> </w:t>
      </w:r>
      <w:r>
        <w:rPr>
          <w:rFonts w:asciiTheme="minorHAnsi" w:hAnsiTheme="minorHAnsi" w:cstheme="minorHAnsi"/>
          <w:sz w:val="18"/>
          <w:szCs w:val="18"/>
        </w:rPr>
        <w:t>8</w:t>
      </w:r>
      <w:r w:rsidR="005806F5" w:rsidRPr="00EC5C1C">
        <w:rPr>
          <w:rFonts w:asciiTheme="minorHAnsi" w:hAnsiTheme="minorHAnsi" w:cstheme="minorHAnsi"/>
          <w:sz w:val="18"/>
          <w:szCs w:val="18"/>
        </w:rPr>
        <w:t>:</w:t>
      </w:r>
      <w:r>
        <w:rPr>
          <w:rFonts w:asciiTheme="minorHAnsi" w:hAnsiTheme="minorHAnsi" w:cstheme="minorHAnsi"/>
          <w:sz w:val="18"/>
          <w:szCs w:val="18"/>
        </w:rPr>
        <w:t>199-213</w:t>
      </w:r>
      <w:r w:rsidR="005806F5" w:rsidRPr="00EC5C1C">
        <w:rPr>
          <w:rFonts w:asciiTheme="minorHAnsi" w:hAnsiTheme="minorHAnsi" w:cstheme="minorHAnsi"/>
          <w:sz w:val="18"/>
          <w:szCs w:val="18"/>
        </w:rPr>
        <w:t>1.</w:t>
      </w:r>
    </w:p>
    <w:p w:rsidR="00833F89" w:rsidRDefault="00833F89" w:rsidP="00833F89">
      <w:pPr>
        <w:pStyle w:val="ListParagraph"/>
        <w:widowControl/>
        <w:numPr>
          <w:ilvl w:val="0"/>
          <w:numId w:val="4"/>
        </w:numPr>
        <w:spacing w:before="120" w:after="120"/>
        <w:ind w:left="426" w:hanging="284"/>
        <w:contextualSpacing/>
        <w:rPr>
          <w:rFonts w:asciiTheme="minorHAnsi" w:hAnsiTheme="minorHAnsi" w:cstheme="minorHAnsi"/>
          <w:sz w:val="18"/>
          <w:szCs w:val="18"/>
        </w:rPr>
      </w:pPr>
      <w:proofErr w:type="spellStart"/>
      <w:r>
        <w:rPr>
          <w:rFonts w:asciiTheme="minorHAnsi" w:hAnsiTheme="minorHAnsi" w:cstheme="minorHAnsi"/>
          <w:sz w:val="18"/>
          <w:szCs w:val="18"/>
        </w:rPr>
        <w:t>Nomberg</w:t>
      </w:r>
      <w:proofErr w:type="spellEnd"/>
      <w:r>
        <w:rPr>
          <w:rFonts w:asciiTheme="minorHAnsi" w:hAnsiTheme="minorHAnsi" w:cstheme="minorHAnsi"/>
          <w:sz w:val="18"/>
          <w:szCs w:val="18"/>
        </w:rPr>
        <w:t xml:space="preserve"> G, </w:t>
      </w:r>
      <w:proofErr w:type="spellStart"/>
      <w:r>
        <w:rPr>
          <w:rFonts w:asciiTheme="minorHAnsi" w:hAnsiTheme="minorHAnsi" w:cstheme="minorHAnsi"/>
          <w:sz w:val="18"/>
          <w:szCs w:val="18"/>
        </w:rPr>
        <w:t>Marinov</w:t>
      </w:r>
      <w:proofErr w:type="spellEnd"/>
      <w:r>
        <w:rPr>
          <w:rFonts w:asciiTheme="minorHAnsi" w:hAnsiTheme="minorHAnsi" w:cstheme="minorHAnsi"/>
          <w:sz w:val="18"/>
          <w:szCs w:val="18"/>
        </w:rPr>
        <w:t xml:space="preserve"> O, Arya GC, </w:t>
      </w:r>
      <w:proofErr w:type="spellStart"/>
      <w:r>
        <w:rPr>
          <w:rFonts w:asciiTheme="minorHAnsi" w:hAnsiTheme="minorHAnsi" w:cstheme="minorHAnsi"/>
          <w:sz w:val="18"/>
          <w:szCs w:val="18"/>
        </w:rPr>
        <w:t>Manasherova</w:t>
      </w:r>
      <w:proofErr w:type="spellEnd"/>
      <w:r>
        <w:rPr>
          <w:rFonts w:asciiTheme="minorHAnsi" w:hAnsiTheme="minorHAnsi" w:cstheme="minorHAnsi"/>
          <w:sz w:val="18"/>
          <w:szCs w:val="18"/>
        </w:rPr>
        <w:t xml:space="preserve"> E, </w:t>
      </w:r>
      <w:r w:rsidRPr="00833F89">
        <w:rPr>
          <w:rFonts w:asciiTheme="minorHAnsi" w:hAnsiTheme="minorHAnsi" w:cstheme="minorHAnsi"/>
          <w:b/>
          <w:bCs/>
          <w:sz w:val="18"/>
          <w:szCs w:val="18"/>
        </w:rPr>
        <w:t>Cohen H</w:t>
      </w:r>
      <w:r>
        <w:rPr>
          <w:rFonts w:asciiTheme="minorHAnsi" w:hAnsiTheme="minorHAnsi" w:cstheme="minorHAnsi"/>
          <w:sz w:val="18"/>
          <w:szCs w:val="18"/>
        </w:rPr>
        <w:t xml:space="preserve"> (2022) The key enzymes in the suberin biosynthetic pathway in plants: an update. </w:t>
      </w:r>
      <w:r w:rsidRPr="00833F89">
        <w:rPr>
          <w:rFonts w:asciiTheme="minorHAnsi" w:hAnsiTheme="minorHAnsi" w:cstheme="minorHAnsi"/>
          <w:i/>
          <w:iCs/>
          <w:sz w:val="18"/>
          <w:szCs w:val="18"/>
        </w:rPr>
        <w:t>Plants</w:t>
      </w:r>
      <w:r>
        <w:rPr>
          <w:rFonts w:asciiTheme="minorHAnsi" w:hAnsiTheme="minorHAnsi" w:cstheme="minorHAnsi"/>
          <w:sz w:val="18"/>
          <w:szCs w:val="18"/>
        </w:rPr>
        <w:t xml:space="preserve"> 11:392-405.</w:t>
      </w:r>
    </w:p>
    <w:p w:rsidR="00833F89" w:rsidRDefault="00833F89" w:rsidP="00833F89">
      <w:pPr>
        <w:pStyle w:val="ListParagraph"/>
        <w:widowControl/>
        <w:numPr>
          <w:ilvl w:val="0"/>
          <w:numId w:val="4"/>
        </w:numPr>
        <w:spacing w:before="120" w:after="120"/>
        <w:ind w:left="426" w:hanging="284"/>
        <w:contextualSpacing/>
        <w:rPr>
          <w:rFonts w:asciiTheme="minorHAnsi" w:hAnsiTheme="minorHAnsi" w:cstheme="minorHAnsi"/>
          <w:sz w:val="18"/>
          <w:szCs w:val="18"/>
        </w:rPr>
      </w:pPr>
      <w:r>
        <w:rPr>
          <w:rFonts w:asciiTheme="minorHAnsi" w:hAnsiTheme="minorHAnsi" w:cstheme="minorHAnsi"/>
          <w:sz w:val="18"/>
          <w:szCs w:val="18"/>
        </w:rPr>
        <w:t xml:space="preserve">Arya GC, Dong Y, Heinig U, Shahaf N, Kazachkova Y, Aviv-Sharon E, </w:t>
      </w:r>
      <w:proofErr w:type="spellStart"/>
      <w:r>
        <w:rPr>
          <w:rFonts w:asciiTheme="minorHAnsi" w:hAnsiTheme="minorHAnsi" w:cstheme="minorHAnsi"/>
          <w:sz w:val="18"/>
          <w:szCs w:val="18"/>
        </w:rPr>
        <w:t>Nomberg</w:t>
      </w:r>
      <w:proofErr w:type="spellEnd"/>
      <w:r>
        <w:rPr>
          <w:rFonts w:asciiTheme="minorHAnsi" w:hAnsiTheme="minorHAnsi" w:cstheme="minorHAnsi"/>
          <w:sz w:val="18"/>
          <w:szCs w:val="18"/>
        </w:rPr>
        <w:t xml:space="preserve"> G, </w:t>
      </w:r>
      <w:proofErr w:type="spellStart"/>
      <w:r>
        <w:rPr>
          <w:rFonts w:asciiTheme="minorHAnsi" w:hAnsiTheme="minorHAnsi" w:cstheme="minorHAnsi"/>
          <w:sz w:val="18"/>
          <w:szCs w:val="18"/>
        </w:rPr>
        <w:t>Marinov</w:t>
      </w:r>
      <w:proofErr w:type="spellEnd"/>
      <w:r>
        <w:rPr>
          <w:rFonts w:asciiTheme="minorHAnsi" w:hAnsiTheme="minorHAnsi" w:cstheme="minorHAnsi"/>
          <w:sz w:val="18"/>
          <w:szCs w:val="18"/>
        </w:rPr>
        <w:t xml:space="preserve"> O, </w:t>
      </w:r>
      <w:proofErr w:type="spellStart"/>
      <w:r>
        <w:rPr>
          <w:rFonts w:asciiTheme="minorHAnsi" w:hAnsiTheme="minorHAnsi" w:cstheme="minorHAnsi"/>
          <w:sz w:val="18"/>
          <w:szCs w:val="18"/>
        </w:rPr>
        <w:t>Manasherova</w:t>
      </w:r>
      <w:proofErr w:type="spellEnd"/>
      <w:r>
        <w:rPr>
          <w:rFonts w:asciiTheme="minorHAnsi" w:hAnsiTheme="minorHAnsi" w:cstheme="minorHAnsi"/>
          <w:sz w:val="18"/>
          <w:szCs w:val="18"/>
        </w:rPr>
        <w:t xml:space="preserve"> K, Aharoni A, </w:t>
      </w:r>
      <w:r w:rsidRPr="00833F89">
        <w:rPr>
          <w:rFonts w:asciiTheme="minorHAnsi" w:hAnsiTheme="minorHAnsi" w:cstheme="minorHAnsi"/>
          <w:b/>
          <w:bCs/>
          <w:sz w:val="18"/>
          <w:szCs w:val="18"/>
        </w:rPr>
        <w:t>Cohen H</w:t>
      </w:r>
      <w:r>
        <w:rPr>
          <w:rFonts w:asciiTheme="minorHAnsi" w:hAnsiTheme="minorHAnsi" w:cstheme="minorHAnsi"/>
          <w:sz w:val="18"/>
          <w:szCs w:val="18"/>
        </w:rPr>
        <w:t xml:space="preserve"> (2022) The metabolic and proteomic repertoires of periderm tissue in skin of the reticulated Sikkim cucumber fruit. </w:t>
      </w:r>
      <w:r w:rsidRPr="00833F89">
        <w:rPr>
          <w:rFonts w:asciiTheme="minorHAnsi" w:hAnsiTheme="minorHAnsi" w:cstheme="minorHAnsi"/>
          <w:i/>
          <w:iCs/>
          <w:sz w:val="18"/>
          <w:szCs w:val="18"/>
        </w:rPr>
        <w:t>Horticulture Research</w:t>
      </w:r>
      <w:r>
        <w:rPr>
          <w:rFonts w:asciiTheme="minorHAnsi" w:hAnsiTheme="minorHAnsi" w:cstheme="minorHAnsi"/>
          <w:sz w:val="18"/>
          <w:szCs w:val="18"/>
        </w:rPr>
        <w:t xml:space="preserve"> </w:t>
      </w:r>
      <w:proofErr w:type="gramStart"/>
      <w:r>
        <w:rPr>
          <w:rFonts w:asciiTheme="minorHAnsi" w:hAnsiTheme="minorHAnsi" w:cstheme="minorHAnsi"/>
          <w:sz w:val="18"/>
          <w:szCs w:val="18"/>
        </w:rPr>
        <w:t>9:uhac</w:t>
      </w:r>
      <w:proofErr w:type="gramEnd"/>
      <w:r>
        <w:rPr>
          <w:rFonts w:asciiTheme="minorHAnsi" w:hAnsiTheme="minorHAnsi" w:cstheme="minorHAnsi"/>
          <w:sz w:val="18"/>
          <w:szCs w:val="18"/>
        </w:rPr>
        <w:t>092.</w:t>
      </w:r>
    </w:p>
    <w:p w:rsidR="005806F5" w:rsidRPr="00EC5C1C" w:rsidRDefault="00164EDB" w:rsidP="00833F89">
      <w:pPr>
        <w:pStyle w:val="ListParagraph"/>
        <w:widowControl/>
        <w:numPr>
          <w:ilvl w:val="0"/>
          <w:numId w:val="4"/>
        </w:numPr>
        <w:spacing w:before="120" w:after="120"/>
        <w:ind w:left="426" w:hanging="284"/>
        <w:contextualSpacing/>
        <w:rPr>
          <w:rFonts w:asciiTheme="minorHAnsi" w:hAnsiTheme="minorHAnsi" w:cstheme="minorHAnsi"/>
          <w:sz w:val="18"/>
          <w:szCs w:val="18"/>
        </w:rPr>
      </w:pPr>
      <w:proofErr w:type="spellStart"/>
      <w:r>
        <w:rPr>
          <w:rFonts w:asciiTheme="minorHAnsi" w:hAnsiTheme="minorHAnsi" w:cstheme="minorHAnsi"/>
          <w:sz w:val="18"/>
          <w:szCs w:val="18"/>
        </w:rPr>
        <w:t>Manasherova</w:t>
      </w:r>
      <w:proofErr w:type="spellEnd"/>
      <w:r>
        <w:rPr>
          <w:rFonts w:asciiTheme="minorHAnsi" w:hAnsiTheme="minorHAnsi" w:cstheme="minorHAnsi"/>
          <w:sz w:val="18"/>
          <w:szCs w:val="18"/>
        </w:rPr>
        <w:t xml:space="preserve"> E, </w:t>
      </w:r>
      <w:r w:rsidRPr="004221DA">
        <w:rPr>
          <w:rFonts w:asciiTheme="minorHAnsi" w:hAnsiTheme="minorHAnsi" w:cstheme="minorHAnsi"/>
          <w:b/>
          <w:bCs/>
          <w:sz w:val="18"/>
          <w:szCs w:val="18"/>
        </w:rPr>
        <w:t>Cohen H</w:t>
      </w:r>
      <w:r>
        <w:rPr>
          <w:rFonts w:asciiTheme="minorHAnsi" w:hAnsiTheme="minorHAnsi" w:cstheme="minorHAnsi"/>
          <w:sz w:val="18"/>
          <w:szCs w:val="18"/>
        </w:rPr>
        <w:t xml:space="preserve"> (2022) A collection of </w:t>
      </w:r>
      <w:r w:rsidR="004221DA">
        <w:rPr>
          <w:rFonts w:asciiTheme="minorHAnsi" w:hAnsiTheme="minorHAnsi" w:cstheme="minorHAnsi"/>
          <w:sz w:val="18"/>
          <w:szCs w:val="18"/>
        </w:rPr>
        <w:t>melon</w:t>
      </w:r>
      <w:bookmarkStart w:id="0" w:name="_GoBack"/>
      <w:bookmarkEnd w:id="0"/>
      <w:r>
        <w:rPr>
          <w:rFonts w:asciiTheme="minorHAnsi" w:hAnsiTheme="minorHAnsi" w:cstheme="minorHAnsi"/>
          <w:sz w:val="18"/>
          <w:szCs w:val="18"/>
        </w:rPr>
        <w:t xml:space="preserve"> (</w:t>
      </w:r>
      <w:proofErr w:type="spellStart"/>
      <w:r w:rsidRPr="004221DA">
        <w:rPr>
          <w:rFonts w:asciiTheme="minorHAnsi" w:hAnsiTheme="minorHAnsi" w:cstheme="minorHAnsi"/>
          <w:i/>
          <w:iCs/>
          <w:sz w:val="18"/>
          <w:szCs w:val="18"/>
        </w:rPr>
        <w:t>Cucumis</w:t>
      </w:r>
      <w:proofErr w:type="spellEnd"/>
      <w:r w:rsidRPr="004221DA">
        <w:rPr>
          <w:rFonts w:asciiTheme="minorHAnsi" w:hAnsiTheme="minorHAnsi" w:cstheme="minorHAnsi"/>
          <w:i/>
          <w:iCs/>
          <w:sz w:val="18"/>
          <w:szCs w:val="18"/>
        </w:rPr>
        <w:t xml:space="preserve"> </w:t>
      </w:r>
      <w:proofErr w:type="spellStart"/>
      <w:r w:rsidRPr="004221DA">
        <w:rPr>
          <w:rFonts w:asciiTheme="minorHAnsi" w:hAnsiTheme="minorHAnsi" w:cstheme="minorHAnsi"/>
          <w:i/>
          <w:iCs/>
          <w:sz w:val="18"/>
          <w:szCs w:val="18"/>
        </w:rPr>
        <w:t>melo</w:t>
      </w:r>
      <w:proofErr w:type="spellEnd"/>
      <w:r>
        <w:rPr>
          <w:rFonts w:asciiTheme="minorHAnsi" w:hAnsiTheme="minorHAnsi" w:cstheme="minorHAnsi"/>
          <w:sz w:val="18"/>
          <w:szCs w:val="18"/>
        </w:rPr>
        <w:t xml:space="preserve">) fruit cultivars with varied skin </w:t>
      </w:r>
      <w:r w:rsidR="004221DA">
        <w:rPr>
          <w:rFonts w:asciiTheme="minorHAnsi" w:hAnsiTheme="minorHAnsi" w:cstheme="minorHAnsi"/>
          <w:sz w:val="18"/>
          <w:szCs w:val="18"/>
        </w:rPr>
        <w:t>appearances</w:t>
      </w:r>
      <w:r>
        <w:rPr>
          <w:rFonts w:asciiTheme="minorHAnsi" w:hAnsiTheme="minorHAnsi" w:cstheme="minorHAnsi"/>
          <w:sz w:val="18"/>
          <w:szCs w:val="18"/>
        </w:rPr>
        <w:t xml:space="preserve"> provide insight to the contribution of suberin in periderm formation and reticulation. </w:t>
      </w:r>
      <w:r w:rsidRPr="004221DA">
        <w:rPr>
          <w:rFonts w:asciiTheme="minorHAnsi" w:hAnsiTheme="minorHAnsi" w:cstheme="minorHAnsi"/>
          <w:i/>
          <w:iCs/>
          <w:sz w:val="18"/>
          <w:szCs w:val="18"/>
        </w:rPr>
        <w:t>Plants</w:t>
      </w:r>
      <w:r>
        <w:rPr>
          <w:rFonts w:asciiTheme="minorHAnsi" w:hAnsiTheme="minorHAnsi" w:cstheme="minorHAnsi"/>
          <w:sz w:val="18"/>
          <w:szCs w:val="18"/>
        </w:rPr>
        <w:t xml:space="preserve"> 11:1336-1347.</w:t>
      </w:r>
      <w:r w:rsidR="00833F89">
        <w:rPr>
          <w:rFonts w:asciiTheme="minorHAnsi" w:hAnsiTheme="minorHAnsi" w:cstheme="minorHAnsi"/>
          <w:sz w:val="18"/>
          <w:szCs w:val="18"/>
        </w:rPr>
        <w:t xml:space="preserve">    </w:t>
      </w:r>
      <w:r w:rsidR="005806F5" w:rsidRPr="00EC5C1C">
        <w:rPr>
          <w:rFonts w:asciiTheme="minorHAnsi" w:hAnsiTheme="minorHAnsi" w:cstheme="minorHAnsi"/>
          <w:i/>
          <w:iCs/>
          <w:sz w:val="18"/>
          <w:szCs w:val="18"/>
        </w:rPr>
        <w:t xml:space="preserve">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lang w:bidi="he-IL"/>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C2D5ED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5806F5" w:rsidRDefault="008756E6" w:rsidP="00404E5B">
      <w:pPr>
        <w:spacing w:before="92"/>
        <w:ind w:right="4234"/>
        <w:rPr>
          <w:noProof/>
        </w:rPr>
      </w:pPr>
      <w:r>
        <w:rPr>
          <w:noProof/>
        </w:rPr>
        <w:t xml:space="preserve">              </w:t>
      </w:r>
    </w:p>
    <w:p w:rsidR="00C828FC" w:rsidRDefault="00C828FC" w:rsidP="00404E5B">
      <w:pPr>
        <w:spacing w:before="92"/>
        <w:ind w:right="4234"/>
        <w:rPr>
          <w:noProof/>
        </w:rPr>
      </w:pPr>
    </w:p>
    <w:p w:rsidR="00C828FC" w:rsidRDefault="00C828FC" w:rsidP="00404E5B">
      <w:pPr>
        <w:spacing w:before="92"/>
        <w:ind w:right="4234"/>
        <w:rPr>
          <w:noProof/>
        </w:rPr>
      </w:pPr>
    </w:p>
    <w:p w:rsidR="00C828FC" w:rsidRDefault="00C828FC" w:rsidP="00404E5B">
      <w:pPr>
        <w:spacing w:before="92"/>
        <w:ind w:right="4234"/>
        <w:rPr>
          <w:noProof/>
        </w:rPr>
      </w:pPr>
    </w:p>
    <w:p w:rsidR="005806F5" w:rsidRDefault="005806F5" w:rsidP="005806F5">
      <w:pPr>
        <w:spacing w:before="92"/>
        <w:ind w:right="4234"/>
        <w:rPr>
          <w:noProof/>
        </w:rPr>
      </w:pPr>
      <w:r>
        <w:rPr>
          <w:noProof/>
          <w:lang w:bidi="he-IL"/>
        </w:rPr>
        <w:lastRenderedPageBreak/>
        <w:drawing>
          <wp:anchor distT="0" distB="0" distL="114300" distR="114300" simplePos="0" relativeHeight="251660288" behindDoc="1" locked="0" layoutInCell="1" allowOverlap="1" wp14:anchorId="397E9924" wp14:editId="48C5D6C4">
            <wp:simplePos x="0" y="0"/>
            <wp:positionH relativeFrom="column">
              <wp:posOffset>5406600</wp:posOffset>
            </wp:positionH>
            <wp:positionV relativeFrom="paragraph">
              <wp:posOffset>635</wp:posOffset>
            </wp:positionV>
            <wp:extent cx="1244600" cy="1147445"/>
            <wp:effectExtent l="0" t="0" r="0" b="0"/>
            <wp:wrapNone/>
            <wp:docPr id="4" name="תמונה 1">
              <a:extLst xmlns:a="http://schemas.openxmlformats.org/drawingml/2006/main">
                <a:ext uri="{FF2B5EF4-FFF2-40B4-BE49-F238E27FC236}">
                  <a16:creationId xmlns:a16="http://schemas.microsoft.com/office/drawing/2014/main" id="{AC625B71-C4F2-4FCB-989D-7F0FF0AD29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1">
                      <a:extLst>
                        <a:ext uri="{FF2B5EF4-FFF2-40B4-BE49-F238E27FC236}">
                          <a16:creationId xmlns:a16="http://schemas.microsoft.com/office/drawing/2014/main" id="{AC625B71-C4F2-4FCB-989D-7F0FF0AD29F0}"/>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44600" cy="1147445"/>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w:t>
      </w:r>
      <w:r>
        <w:rPr>
          <w:noProof/>
          <w:lang w:bidi="he-IL"/>
        </w:rPr>
        <w:drawing>
          <wp:inline distT="0" distB="0" distL="0" distR="0" wp14:anchorId="68CCEB20" wp14:editId="1865273C">
            <wp:extent cx="784586" cy="1121821"/>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agai Photo.jpg"/>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784586" cy="1121821"/>
                    </a:xfrm>
                    <a:prstGeom prst="rect">
                      <a:avLst/>
                    </a:prstGeom>
                  </pic:spPr>
                </pic:pic>
              </a:graphicData>
            </a:graphic>
          </wp:inline>
        </w:drawing>
      </w:r>
      <w:r>
        <w:rPr>
          <w:noProof/>
        </w:rPr>
        <w:t xml:space="preserve">            </w:t>
      </w:r>
    </w:p>
    <w:p w:rsidR="005806F5" w:rsidRDefault="005806F5" w:rsidP="005806F5">
      <w:pPr>
        <w:spacing w:before="92"/>
        <w:ind w:right="4234"/>
        <w:rPr>
          <w:rFonts w:ascii="Arial"/>
        </w:rPr>
      </w:pPr>
      <w:r>
        <w:rPr>
          <w:rFonts w:ascii="Arial"/>
          <w:color w:val="BF5A14"/>
        </w:rPr>
        <w:t>Biography</w:t>
      </w:r>
    </w:p>
    <w:p w:rsidR="005806F5" w:rsidRDefault="005806F5" w:rsidP="005806F5">
      <w:pPr>
        <w:spacing w:before="41" w:line="154" w:lineRule="exact"/>
        <w:ind w:left="213" w:right="231"/>
        <w:jc w:val="both"/>
        <w:rPr>
          <w:rFonts w:ascii="Arial"/>
          <w:sz w:val="14"/>
        </w:rPr>
      </w:pPr>
      <w:r>
        <w:rPr>
          <w:rFonts w:ascii="Arial"/>
          <w:sz w:val="14"/>
        </w:rPr>
        <w:t xml:space="preserve">Dr. Hagai Cohen obtained his Ph.D. in Plant Molecular Biology in the Faculty of Biology at the Technion </w:t>
      </w:r>
      <w:r>
        <w:rPr>
          <w:rFonts w:ascii="Arial"/>
          <w:sz w:val="14"/>
        </w:rPr>
        <w:t>–</w:t>
      </w:r>
      <w:r>
        <w:rPr>
          <w:rFonts w:ascii="Arial"/>
          <w:sz w:val="14"/>
        </w:rPr>
        <w:t xml:space="preserve"> Israel Institute of Technology, Israel, investigating the regulatory metabolic pathways involved in amino acid biosynthesis in plant seeds. It is then where he started to focus on metabolism in plants. During his Postdoctoral Fellowship at the Weizmann Institute of Science, Israel, he investigated the metabolic pathways leading to the formation of lipophilic barriers in plants such as epicuticular waxes, cutin, suberin and lignin. In early 2020, he opened his independent laboratory as a Principal Investigator in the Department of Vegetable and Field Crops, the Institute of Plant science at the Agricultural Research Organization (ARO), Volcani Center, Israel. His group is interested in elucidating various aspects of interactions between plant surfaces and pathogens, with a particular focus on metabolic networks operating on the course of pathogenic attack and invasion.         </w:t>
      </w:r>
    </w:p>
    <w:p w:rsidR="005806F5" w:rsidRDefault="005806F5" w:rsidP="005806F5">
      <w:pPr>
        <w:spacing w:before="62"/>
        <w:ind w:left="4217" w:right="4235"/>
        <w:jc w:val="center"/>
        <w:rPr>
          <w:rFonts w:ascii="Arial"/>
          <w:sz w:val="14"/>
        </w:rPr>
      </w:pPr>
      <w:r>
        <w:rPr>
          <w:rFonts w:ascii="Arial"/>
          <w:sz w:val="14"/>
        </w:rPr>
        <w:t xml:space="preserve">Email: </w:t>
      </w:r>
      <w:hyperlink r:id="rId11" w:history="1">
        <w:r w:rsidRPr="00E8216A">
          <w:rPr>
            <w:rStyle w:val="Hyperlink"/>
            <w:rFonts w:ascii="Arial"/>
            <w:sz w:val="14"/>
          </w:rPr>
          <w:t>hagaic@volcani.agri.gov.il</w:t>
        </w:r>
      </w:hyperlink>
    </w:p>
    <w:p w:rsidR="005806F5" w:rsidRDefault="005806F5" w:rsidP="005806F5">
      <w:pPr>
        <w:pStyle w:val="BodyText"/>
        <w:spacing w:before="2"/>
        <w:rPr>
          <w:rFonts w:ascii="Arial"/>
          <w:sz w:val="19"/>
        </w:rPr>
      </w:pPr>
      <w:r>
        <w:rPr>
          <w:noProof/>
          <w:lang w:bidi="he-IL"/>
        </w:rPr>
        <mc:AlternateContent>
          <mc:Choice Requires="wps">
            <w:drawing>
              <wp:anchor distT="0" distB="0" distL="0" distR="0" simplePos="0" relativeHeight="251659264" behindDoc="0" locked="0" layoutInCell="1" allowOverlap="1" wp14:anchorId="7B9EDEE4" wp14:editId="18D9D694">
                <wp:simplePos x="0" y="0"/>
                <wp:positionH relativeFrom="page">
                  <wp:posOffset>2058670</wp:posOffset>
                </wp:positionH>
                <wp:positionV relativeFrom="paragraph">
                  <wp:posOffset>168275</wp:posOffset>
                </wp:positionV>
                <wp:extent cx="3442335" cy="0"/>
                <wp:effectExtent l="10795" t="6985" r="13970" b="12065"/>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0A4654"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eWp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OG5&#10;5ak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5806F5" w:rsidRDefault="005806F5" w:rsidP="005806F5">
      <w:pPr>
        <w:pStyle w:val="BodyText"/>
        <w:rPr>
          <w:rFonts w:ascii="Arial"/>
          <w:sz w:val="20"/>
        </w:rPr>
      </w:pPr>
    </w:p>
    <w:p w:rsidR="005806F5" w:rsidRDefault="005806F5" w:rsidP="005806F5">
      <w:pPr>
        <w:pStyle w:val="BodyText"/>
        <w:rPr>
          <w:rFonts w:ascii="Arial"/>
          <w:sz w:val="20"/>
        </w:rPr>
      </w:pPr>
    </w:p>
    <w:p w:rsidR="005806F5" w:rsidRDefault="005806F5" w:rsidP="005806F5">
      <w:pPr>
        <w:pStyle w:val="BodyText"/>
        <w:spacing w:before="7"/>
        <w:rPr>
          <w:rFonts w:ascii="Arial"/>
          <w:sz w:val="29"/>
        </w:rPr>
      </w:pPr>
    </w:p>
    <w:p w:rsidR="005806F5" w:rsidRPr="00A94F39" w:rsidRDefault="005806F5" w:rsidP="005806F5">
      <w:pPr>
        <w:autoSpaceDE w:val="0"/>
        <w:autoSpaceDN w:val="0"/>
        <w:adjustRightInd w:val="0"/>
        <w:rPr>
          <w:sz w:val="20"/>
          <w:szCs w:val="20"/>
          <w:lang w:val="en-NZ"/>
        </w:rPr>
        <w:sectPr w:rsidR="005806F5" w:rsidRPr="00A94F39" w:rsidSect="008E5477">
          <w:type w:val="continuous"/>
          <w:pgSz w:w="11910" w:h="16840"/>
          <w:pgMar w:top="995" w:right="600" w:bottom="840" w:left="620" w:header="720" w:footer="720" w:gutter="0"/>
          <w:cols w:space="720"/>
        </w:sect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Full name:</w:t>
      </w:r>
      <w:r>
        <w:rPr>
          <w:sz w:val="20"/>
          <w:szCs w:val="20"/>
          <w:lang w:val="en-NZ"/>
        </w:rPr>
        <w:t xml:space="preserve"> Hagai Cohen</w:t>
      </w:r>
      <w:r w:rsidRPr="00F35A62">
        <w:rPr>
          <w:sz w:val="20"/>
          <w:szCs w:val="20"/>
          <w:lang w:val="en-NZ"/>
        </w:rPr>
        <w:t xml:space="preserve"> </w:t>
      </w:r>
      <w:r w:rsidRPr="00F35A62">
        <w:rPr>
          <w:sz w:val="20"/>
          <w:szCs w:val="20"/>
          <w:lang w:val="en-NZ"/>
        </w:rPr>
        <w:br/>
        <w:t>Contact number:</w:t>
      </w:r>
      <w:r>
        <w:rPr>
          <w:sz w:val="20"/>
          <w:szCs w:val="20"/>
          <w:lang w:val="en-NZ"/>
        </w:rPr>
        <w:t xml:space="preserve"> +972-544505725</w:t>
      </w:r>
      <w:r w:rsidRPr="00F35A62">
        <w:rPr>
          <w:sz w:val="20"/>
          <w:szCs w:val="20"/>
          <w:lang w:val="en-NZ"/>
        </w:rPr>
        <w:br/>
        <w:t>Session name:</w:t>
      </w:r>
      <w:r>
        <w:rPr>
          <w:sz w:val="20"/>
          <w:szCs w:val="20"/>
          <w:lang w:val="en-NZ"/>
        </w:rPr>
        <w:t xml:space="preserve"> Plant Science</w:t>
      </w:r>
      <w:r w:rsidRPr="00F35A62">
        <w:rPr>
          <w:sz w:val="20"/>
          <w:szCs w:val="20"/>
          <w:lang w:val="en-NZ"/>
        </w:rPr>
        <w:t xml:space="preserve"> </w:t>
      </w:r>
      <w:r w:rsidRPr="00F35A62">
        <w:rPr>
          <w:sz w:val="20"/>
          <w:szCs w:val="20"/>
          <w:lang w:val="en-NZ"/>
        </w:rPr>
        <w:br/>
        <w:t>Category: Oral presentation</w:t>
      </w:r>
      <w:r>
        <w:rPr>
          <w:sz w:val="20"/>
          <w:szCs w:val="20"/>
          <w:lang w:val="en-NZ"/>
        </w:rPr>
        <w:t xml:space="preserve"> (formal invitation for keynote speaker) </w:t>
      </w:r>
    </w:p>
    <w:p w:rsidR="00AE3E37" w:rsidRPr="005806F5" w:rsidRDefault="00AE3E37">
      <w:pPr>
        <w:rPr>
          <w:rFonts w:ascii="Minion Pro"/>
          <w:sz w:val="24"/>
          <w:lang w:val="en-NZ"/>
        </w:rPr>
        <w:sectPr w:rsidR="00AE3E37" w:rsidRPr="005806F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28C" w:rsidRDefault="0032328C">
      <w:r>
        <w:separator/>
      </w:r>
    </w:p>
  </w:endnote>
  <w:endnote w:type="continuationSeparator" w:id="0">
    <w:p w:rsidR="0032328C" w:rsidRDefault="00323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bidi="he-IL"/>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he-IL"/>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he-IL"/>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28C" w:rsidRDefault="0032328C">
      <w:r>
        <w:separator/>
      </w:r>
    </w:p>
  </w:footnote>
  <w:footnote w:type="continuationSeparator" w:id="0">
    <w:p w:rsidR="0032328C" w:rsidRDefault="0032328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bidi="he-IL"/>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he-IL"/>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07E84"/>
    <w:multiLevelType w:val="hybridMultilevel"/>
    <w:tmpl w:val="E94CA7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82581"/>
    <w:rsid w:val="000E2911"/>
    <w:rsid w:val="001263DF"/>
    <w:rsid w:val="00164EDB"/>
    <w:rsid w:val="00292ED9"/>
    <w:rsid w:val="002E547D"/>
    <w:rsid w:val="0032328C"/>
    <w:rsid w:val="00364417"/>
    <w:rsid w:val="003F175B"/>
    <w:rsid w:val="00404E5B"/>
    <w:rsid w:val="00414F7B"/>
    <w:rsid w:val="004221DA"/>
    <w:rsid w:val="004355DC"/>
    <w:rsid w:val="004749B4"/>
    <w:rsid w:val="00494130"/>
    <w:rsid w:val="004F3523"/>
    <w:rsid w:val="005655EB"/>
    <w:rsid w:val="005806F5"/>
    <w:rsid w:val="005973B9"/>
    <w:rsid w:val="005B3A56"/>
    <w:rsid w:val="006060CE"/>
    <w:rsid w:val="0063497F"/>
    <w:rsid w:val="00782212"/>
    <w:rsid w:val="00833F89"/>
    <w:rsid w:val="00873DF0"/>
    <w:rsid w:val="008756E6"/>
    <w:rsid w:val="009B2D44"/>
    <w:rsid w:val="00A07E82"/>
    <w:rsid w:val="00A9710C"/>
    <w:rsid w:val="00AE3E37"/>
    <w:rsid w:val="00B21A57"/>
    <w:rsid w:val="00C33602"/>
    <w:rsid w:val="00C828FC"/>
    <w:rsid w:val="00CD6F5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703435"/>
  <w15:docId w15:val="{E445372D-2EAE-4820-9FD2-AA8DAFF83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agaic@volcani.agri.gov.il"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744</Words>
  <Characters>4246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Hagai Cohen</cp:lastModifiedBy>
  <cp:revision>4</cp:revision>
  <dcterms:created xsi:type="dcterms:W3CDTF">2022-08-11T10:31:00Z</dcterms:created>
  <dcterms:modified xsi:type="dcterms:W3CDTF">2022-08-11T10:42:00Z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