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06B3478" w14:textId="77777777" w:rsidR="00AE3E37" w:rsidRDefault="00AC7353" w:rsidP="000534A1">
      <w:pPr>
        <w:pStyle w:val="Heading1"/>
        <w:spacing w:before="170"/>
        <w:ind w:left="0"/>
        <w:jc w:val="both"/>
      </w:pPr>
      <w:r w:rsidRPr="00AC7353">
        <w:rPr>
          <w:color w:val="337AB7"/>
        </w:rPr>
        <w:t>Investigate the Role of Thioredoxin Domain-containing Protein 5 (TXNDC5) in Peritoneal Dialysis-induced Peritoneal Fibrosis</w:t>
      </w:r>
    </w:p>
    <w:p w14:paraId="5B00B137" w14:textId="0C5CD0EB" w:rsidR="005973B9" w:rsidRDefault="00AC7353" w:rsidP="005973B9">
      <w:pPr>
        <w:pStyle w:val="BodyText"/>
        <w:spacing w:before="73" w:line="198" w:lineRule="exact"/>
        <w:ind w:left="100" w:right="5987"/>
        <w:rPr>
          <w:rFonts w:ascii="Arial"/>
        </w:rPr>
      </w:pPr>
      <w:bookmarkStart w:id="0" w:name="_GoBack"/>
      <w:r w:rsidRPr="00AC7353">
        <w:rPr>
          <w:rFonts w:ascii="Arial"/>
        </w:rPr>
        <w:t xml:space="preserve">Chun-Jung </w:t>
      </w:r>
      <w:proofErr w:type="spellStart"/>
      <w:r w:rsidRPr="00AC7353">
        <w:rPr>
          <w:rFonts w:ascii="Arial"/>
        </w:rPr>
        <w:t>Chien</w:t>
      </w:r>
      <w:bookmarkEnd w:id="0"/>
      <w:proofErr w:type="spellEnd"/>
      <w:r w:rsidR="005973B9">
        <w:rPr>
          <w:rFonts w:ascii="Arial"/>
        </w:rPr>
        <w:t xml:space="preserve">, </w:t>
      </w:r>
      <w:r w:rsidR="00406C50">
        <w:rPr>
          <w:rFonts w:ascii="Arial"/>
        </w:rPr>
        <w:t>D</w:t>
      </w:r>
      <w:r>
        <w:rPr>
          <w:rFonts w:ascii="Arial"/>
        </w:rPr>
        <w:t>VM</w:t>
      </w:r>
      <w:r w:rsidR="005973B9">
        <w:rPr>
          <w:rFonts w:ascii="Arial"/>
        </w:rPr>
        <w:t xml:space="preserve">, </w:t>
      </w:r>
      <w:r w:rsidR="009C6711">
        <w:rPr>
          <w:rFonts w:ascii="Arial" w:eastAsia="PMingLiU" w:hAnsi="Arial" w:cs="Arial"/>
          <w:lang w:eastAsia="zh-TW"/>
        </w:rPr>
        <w:t>SVM, NTU, Taiwan</w:t>
      </w:r>
    </w:p>
    <w:p w14:paraId="449B741B" w14:textId="61E5E6B8" w:rsidR="00AC7353" w:rsidRDefault="00AC7353" w:rsidP="005973B9">
      <w:pPr>
        <w:pStyle w:val="BodyText"/>
        <w:spacing w:before="73" w:line="198" w:lineRule="exact"/>
        <w:ind w:left="100" w:right="5987"/>
        <w:rPr>
          <w:rFonts w:ascii="Arial" w:eastAsia="PMingLiU" w:hAnsi="Arial" w:cs="Arial"/>
          <w:lang w:eastAsia="zh-TW"/>
        </w:rPr>
      </w:pPr>
      <w:r w:rsidRPr="00AC7353">
        <w:rPr>
          <w:rFonts w:ascii="Arial"/>
        </w:rPr>
        <w:t>Kai-</w:t>
      </w:r>
      <w:proofErr w:type="spellStart"/>
      <w:r w:rsidRPr="00AC7353">
        <w:rPr>
          <w:rFonts w:ascii="Arial"/>
        </w:rPr>
        <w:t>Chien</w:t>
      </w:r>
      <w:proofErr w:type="spellEnd"/>
      <w:r w:rsidRPr="00AC7353">
        <w:rPr>
          <w:rFonts w:ascii="Arial"/>
        </w:rPr>
        <w:t xml:space="preserve"> Yang</w:t>
      </w:r>
      <w:r>
        <w:rPr>
          <w:rFonts w:ascii="PMingLiU" w:eastAsia="PMingLiU" w:hAnsi="PMingLiU" w:cs="PMingLiU" w:hint="eastAsia"/>
          <w:lang w:eastAsia="zh-TW"/>
        </w:rPr>
        <w:t>,</w:t>
      </w:r>
      <w:r>
        <w:rPr>
          <w:rFonts w:ascii="PMingLiU" w:eastAsia="PMingLiU" w:hAnsi="PMingLiU" w:cs="PMingLiU"/>
          <w:lang w:eastAsia="zh-TW"/>
        </w:rPr>
        <w:t xml:space="preserve"> </w:t>
      </w:r>
      <w:r w:rsidR="003423DD">
        <w:rPr>
          <w:rFonts w:ascii="Arial"/>
        </w:rPr>
        <w:t>MD, PhD,</w:t>
      </w:r>
      <w:r w:rsidR="003423DD">
        <w:rPr>
          <w:rFonts w:ascii="Arial" w:eastAsia="PMingLiU" w:hAnsi="Arial" w:cs="Arial" w:hint="cs"/>
          <w:lang w:eastAsia="zh-TW"/>
        </w:rPr>
        <w:t xml:space="preserve"> </w:t>
      </w:r>
      <w:r>
        <w:rPr>
          <w:rFonts w:ascii="Arial" w:eastAsia="PMingLiU" w:hAnsi="Arial" w:cs="Arial"/>
          <w:lang w:eastAsia="zh-TW"/>
        </w:rPr>
        <w:t>CM</w:t>
      </w:r>
      <w:r w:rsidR="009C6711">
        <w:rPr>
          <w:rFonts w:ascii="Arial" w:eastAsia="PMingLiU" w:hAnsi="Arial" w:cs="Arial"/>
          <w:lang w:eastAsia="zh-TW"/>
        </w:rPr>
        <w:t>,</w:t>
      </w:r>
      <w:r w:rsidR="009C6711" w:rsidRPr="009C6711">
        <w:rPr>
          <w:rFonts w:ascii="Arial" w:eastAsia="PMingLiU" w:hAnsi="Arial" w:cs="Arial"/>
          <w:lang w:eastAsia="zh-TW"/>
        </w:rPr>
        <w:t xml:space="preserve"> </w:t>
      </w:r>
      <w:r w:rsidR="009C6711">
        <w:rPr>
          <w:rFonts w:ascii="Arial" w:eastAsia="PMingLiU" w:hAnsi="Arial" w:cs="Arial"/>
          <w:lang w:eastAsia="zh-TW"/>
        </w:rPr>
        <w:t>NTU, Taiwan</w:t>
      </w:r>
    </w:p>
    <w:p w14:paraId="1AC20395" w14:textId="3D36F135" w:rsidR="00AC7353" w:rsidRPr="00AC7353" w:rsidRDefault="00AC7353" w:rsidP="005973B9">
      <w:pPr>
        <w:pStyle w:val="BodyText"/>
        <w:spacing w:before="73" w:line="198" w:lineRule="exact"/>
        <w:ind w:left="100" w:right="5987"/>
        <w:rPr>
          <w:rFonts w:ascii="Arial" w:eastAsiaTheme="minorEastAsia" w:hAnsi="Arial" w:cs="Arial"/>
          <w:lang w:eastAsia="zh-TW"/>
        </w:rPr>
      </w:pPr>
      <w:r w:rsidRPr="00AC7353">
        <w:rPr>
          <w:rFonts w:ascii="Arial" w:eastAsiaTheme="minorEastAsia" w:hAnsi="Arial" w:cs="Arial"/>
          <w:lang w:eastAsia="zh-TW"/>
        </w:rPr>
        <w:t>Pei-Shiue Jason Tsai</w:t>
      </w:r>
      <w:r>
        <w:rPr>
          <w:rFonts w:ascii="Arial" w:eastAsiaTheme="minorEastAsia" w:hAnsi="Arial" w:cs="Arial"/>
          <w:lang w:eastAsia="zh-TW"/>
        </w:rPr>
        <w:t xml:space="preserve">, </w:t>
      </w:r>
      <w:r w:rsidR="003423DD">
        <w:rPr>
          <w:rFonts w:ascii="Arial"/>
        </w:rPr>
        <w:t>DVM, PhD,</w:t>
      </w:r>
      <w:r w:rsidR="003423DD">
        <w:rPr>
          <w:rFonts w:ascii="Arial" w:eastAsia="PMingLiU" w:hAnsi="Arial" w:cs="Arial" w:hint="cs"/>
          <w:lang w:eastAsia="zh-TW"/>
        </w:rPr>
        <w:t xml:space="preserve"> </w:t>
      </w:r>
      <w:r w:rsidR="003423DD">
        <w:rPr>
          <w:rFonts w:ascii="Arial" w:eastAsia="PMingLiU" w:hAnsi="Arial" w:cs="Arial"/>
          <w:lang w:eastAsia="zh-TW"/>
        </w:rPr>
        <w:t>SVM, NTU, Taiwan</w:t>
      </w:r>
    </w:p>
    <w:p w14:paraId="25E02D11" w14:textId="77777777" w:rsidR="00AE3E37" w:rsidRDefault="00AE3E37">
      <w:pPr>
        <w:rPr>
          <w:rFonts w:ascii="Arial"/>
          <w:sz w:val="21"/>
        </w:rPr>
        <w:sectPr w:rsidR="00AE3E37" w:rsidSect="008E5477">
          <w:footerReference w:type="default" r:id="rId8"/>
          <w:type w:val="continuous"/>
          <w:pgSz w:w="11910" w:h="16840"/>
          <w:pgMar w:top="995" w:right="600" w:bottom="840" w:left="620" w:header="0" w:footer="0" w:gutter="0"/>
          <w:cols w:space="720"/>
          <w:docGrid w:linePitch="299"/>
        </w:sectPr>
      </w:pPr>
    </w:p>
    <w:p w14:paraId="242DBB6C" w14:textId="77777777" w:rsidR="00AE3E37" w:rsidRDefault="00A9710C">
      <w:pPr>
        <w:pStyle w:val="Heading3"/>
        <w:spacing w:before="147"/>
        <w:jc w:val="both"/>
      </w:pPr>
      <w:r>
        <w:rPr>
          <w:color w:val="BF5A14"/>
        </w:rPr>
        <w:lastRenderedPageBreak/>
        <w:t>Abstract</w:t>
      </w:r>
      <w:r w:rsidR="00404E5B">
        <w:rPr>
          <w:color w:val="BF5A14"/>
        </w:rPr>
        <w:t xml:space="preserve"> (300 word limit)</w:t>
      </w:r>
    </w:p>
    <w:p w14:paraId="097BD456" w14:textId="4E301B81" w:rsidR="00AE3E37" w:rsidRDefault="00AC7353">
      <w:pPr>
        <w:pStyle w:val="BodyText"/>
        <w:spacing w:before="90" w:line="280" w:lineRule="auto"/>
        <w:ind w:left="100"/>
        <w:jc w:val="both"/>
      </w:pPr>
      <w:r w:rsidRPr="00AC7353">
        <w:t xml:space="preserve">Statement of the Problem: Peritoneal dialysis (PD) is one of the kidney replacement therapies that </w:t>
      </w:r>
      <w:r w:rsidR="009C6711">
        <w:t>maintain</w:t>
      </w:r>
      <w:r w:rsidRPr="00AC7353">
        <w:t xml:space="preserve"> the lives of patients with kidney failure. Long-term PD </w:t>
      </w:r>
      <w:r w:rsidR="009C6711">
        <w:t>will</w:t>
      </w:r>
      <w:r w:rsidRPr="00AC7353">
        <w:t xml:space="preserve"> lead to peritoneal fibrosis (PF), which would cause functional and morphologic changes </w:t>
      </w:r>
      <w:r w:rsidR="009C6711">
        <w:t>in</w:t>
      </w:r>
      <w:r w:rsidRPr="00AC7353">
        <w:t xml:space="preserve"> </w:t>
      </w:r>
      <w:r w:rsidR="009C6711">
        <w:t xml:space="preserve">the </w:t>
      </w:r>
      <w:r w:rsidRPr="00AC7353">
        <w:t xml:space="preserve">peritoneum and eventually result in ultrafiltration failure. Despite efforts being made, there is still no effective treatment that has been developed to alleviate PF. Recently, an endoplasmic reticulum protein, thioredoxin domain-containing protein 5 (TXNDC5), was identified as a novel mediator in the process of organ fibrosis in multiple organs. The purpose of this study is to </w:t>
      </w:r>
      <w:r w:rsidR="009C6711">
        <w:t>explore</w:t>
      </w:r>
      <w:r w:rsidRPr="00AC7353">
        <w:t xml:space="preserve"> a potential target to treat ultrafiltration failure </w:t>
      </w:r>
      <w:r w:rsidR="009C6711">
        <w:t>by</w:t>
      </w:r>
      <w:r w:rsidRPr="00AC7353">
        <w:t xml:space="preserve"> investigating the role of TXNDC5 in PF. Methodology &amp; Theoretical Orientation: A 5-week methylglyoxal (MGO)-induced peritoneal fibrosis mouse model was established</w:t>
      </w:r>
      <w:r w:rsidR="009C6711">
        <w:t>,</w:t>
      </w:r>
      <w:r w:rsidRPr="00AC7353">
        <w:t xml:space="preserve"> and the peritoneal tissue was harvested to validate the expression of fibrosis-related protein</w:t>
      </w:r>
      <w:r w:rsidR="009C6711">
        <w:t>s</w:t>
      </w:r>
      <w:r w:rsidRPr="00AC7353">
        <w:t xml:space="preserve"> and </w:t>
      </w:r>
      <w:r w:rsidR="009C6711">
        <w:t xml:space="preserve">protein expression of </w:t>
      </w:r>
      <w:r w:rsidRPr="00AC7353">
        <w:t xml:space="preserve">TXNDC5 via western blot and immunofluorescence staining. Findings: </w:t>
      </w:r>
      <w:r w:rsidR="00F8413D">
        <w:t xml:space="preserve">Histological and Masson’s trichrome staining showed </w:t>
      </w:r>
      <w:r w:rsidRPr="00AC7353">
        <w:t>MGO-induced</w:t>
      </w:r>
      <w:r w:rsidR="00F8413D">
        <w:t xml:space="preserve"> significant</w:t>
      </w:r>
      <w:r w:rsidRPr="00AC7353">
        <w:t xml:space="preserve"> </w:t>
      </w:r>
      <w:r w:rsidRPr="00AC7353">
        <w:rPr>
          <w:rFonts w:hint="eastAsia"/>
          <w:lang w:eastAsia="zh-TW"/>
        </w:rPr>
        <w:t>p</w:t>
      </w:r>
      <w:r w:rsidRPr="00AC7353">
        <w:t xml:space="preserve">eritoneum </w:t>
      </w:r>
      <w:r w:rsidR="00F8413D">
        <w:t>thickening when compared with PD fluid control group</w:t>
      </w:r>
      <w:r w:rsidRPr="00AC7353">
        <w:t xml:space="preserve">, indicating </w:t>
      </w:r>
      <w:r w:rsidR="009C6711">
        <w:t xml:space="preserve">that </w:t>
      </w:r>
      <w:r w:rsidRPr="00AC7353">
        <w:t>the PF was successfully establishe</w:t>
      </w:r>
      <w:r w:rsidR="00F8413D">
        <w:t>d (Fig. 1)</w:t>
      </w:r>
      <w:r w:rsidRPr="00AC7353">
        <w:rPr>
          <w:rFonts w:hint="eastAsia"/>
          <w:lang w:eastAsia="zh-TW"/>
        </w:rPr>
        <w:t>.</w:t>
      </w:r>
      <w:r w:rsidRPr="00AC7353">
        <w:t xml:space="preserve"> </w:t>
      </w:r>
      <w:r w:rsidR="00F764D2">
        <w:rPr>
          <w:rFonts w:hint="eastAsia"/>
          <w:lang w:eastAsia="zh-TW"/>
        </w:rPr>
        <w:t>I</w:t>
      </w:r>
      <w:r w:rsidRPr="00AC7353">
        <w:t xml:space="preserve">mmunofluorescent staining confirmed </w:t>
      </w:r>
      <w:r w:rsidR="009C6711">
        <w:t xml:space="preserve">that an </w:t>
      </w:r>
      <w:r w:rsidRPr="00AC7353">
        <w:t>increased TXNDC5 signal was present at the thickened parietal peritoneum. In addition, western blot results showed that both TXNDC5 and fibrogenesis-related signaling were upregulated in MGO-induced peritoneum</w:t>
      </w:r>
      <w:r w:rsidR="00F8413D">
        <w:t xml:space="preserve"> (Fig. 2)</w:t>
      </w:r>
      <w:r w:rsidRPr="00AC7353">
        <w:t xml:space="preserve">. </w:t>
      </w:r>
      <w:r w:rsidR="00F8413D">
        <w:t>Using</w:t>
      </w:r>
      <w:r w:rsidR="005A21D1">
        <w:t xml:space="preserve"> </w:t>
      </w:r>
      <w:r w:rsidR="00F8413D">
        <w:t>Col-GFP transgenic mice (Col1a1-GFP</w:t>
      </w:r>
      <w:r w:rsidR="00F8413D" w:rsidRPr="00F8413D">
        <w:rPr>
          <w:vertAlign w:val="superscript"/>
        </w:rPr>
        <w:t>Tg</w:t>
      </w:r>
      <w:r w:rsidR="00F8413D">
        <w:t xml:space="preserve">), we showed mesothelial cells became </w:t>
      </w:r>
      <w:r w:rsidR="005A21D1">
        <w:rPr>
          <w:rFonts w:hint="eastAsia"/>
          <w:lang w:eastAsia="zh-TW"/>
        </w:rPr>
        <w:t>C</w:t>
      </w:r>
      <w:r w:rsidR="005A21D1">
        <w:t>ol-GFP</w:t>
      </w:r>
      <w:r w:rsidR="00F8413D">
        <w:rPr>
          <w:vertAlign w:val="superscript"/>
        </w:rPr>
        <w:t xml:space="preserve"> </w:t>
      </w:r>
      <w:r w:rsidR="00F8413D">
        <w:t xml:space="preserve">positive </w:t>
      </w:r>
      <w:r w:rsidR="005A21D1">
        <w:t>on the peritoneal surface</w:t>
      </w:r>
      <w:r w:rsidR="00F8413D">
        <w:t>,</w:t>
      </w:r>
      <w:r w:rsidR="005A21D1">
        <w:t xml:space="preserve"> indicated that mesothelial cells </w:t>
      </w:r>
      <w:r w:rsidR="00F8413D">
        <w:t>expressed collagen I secreting ability after MGO-induction, and</w:t>
      </w:r>
      <w:r w:rsidR="00F8413D">
        <w:rPr>
          <w:rFonts w:hint="eastAsia"/>
          <w:lang w:eastAsia="zh-TW"/>
        </w:rPr>
        <w:t xml:space="preserve"> </w:t>
      </w:r>
      <w:r w:rsidR="00F8413D">
        <w:rPr>
          <w:lang w:eastAsia="zh-TW"/>
        </w:rPr>
        <w:t xml:space="preserve">likely </w:t>
      </w:r>
      <w:r w:rsidR="005A21D1">
        <w:rPr>
          <w:rFonts w:hint="eastAsia"/>
          <w:lang w:eastAsia="zh-TW"/>
        </w:rPr>
        <w:t>p</w:t>
      </w:r>
      <w:r w:rsidR="005A21D1">
        <w:t xml:space="preserve">lay a role in </w:t>
      </w:r>
      <w:r w:rsidR="00F8413D">
        <w:t>the progression of MGO-induced peritoneal fibrosis (Fig. 3)</w:t>
      </w:r>
      <w:r w:rsidR="005A21D1">
        <w:t xml:space="preserve">. </w:t>
      </w:r>
      <w:r w:rsidRPr="00AC7353">
        <w:t xml:space="preserve">Conclusion &amp; Significance: TXNDC5 </w:t>
      </w:r>
      <w:r w:rsidR="00F8413D">
        <w:t xml:space="preserve">protein </w:t>
      </w:r>
      <w:r w:rsidRPr="00AC7353">
        <w:t xml:space="preserve">expression is </w:t>
      </w:r>
      <w:r w:rsidR="00F8413D">
        <w:t xml:space="preserve">increased after MGO induction and is positively </w:t>
      </w:r>
      <w:r w:rsidRPr="00AC7353">
        <w:t>correlated with fibrogenesis-related signaling. Therefore, targeting TXNDC5 could be a potential therapeutic approach against the development of PD-induced PF, which may prolong the service life of PD patients.</w:t>
      </w:r>
      <w:r w:rsidR="00F764D2">
        <w:t xml:space="preserve"> </w:t>
      </w:r>
    </w:p>
    <w:p w14:paraId="378DC911" w14:textId="7BE56143" w:rsidR="00F764D2" w:rsidRPr="00F764D2" w:rsidRDefault="00F764D2">
      <w:pPr>
        <w:pStyle w:val="BodyText"/>
        <w:spacing w:before="90" w:line="280" w:lineRule="auto"/>
        <w:ind w:left="100"/>
        <w:jc w:val="both"/>
        <w:rPr>
          <w:rFonts w:ascii="Arial" w:hAnsi="Arial" w:cs="Arial"/>
          <w:b/>
          <w:color w:val="BF5A14"/>
          <w:sz w:val="20"/>
        </w:rPr>
      </w:pPr>
      <w:r w:rsidRPr="00F764D2">
        <w:rPr>
          <w:rFonts w:ascii="Arial" w:hAnsi="Arial" w:cs="Arial"/>
          <w:b/>
          <w:color w:val="BF5A14"/>
          <w:sz w:val="20"/>
        </w:rPr>
        <w:t>Image</w:t>
      </w:r>
    </w:p>
    <w:p w14:paraId="29D134A9" w14:textId="3502B695" w:rsidR="00F764D2" w:rsidRPr="00F764D2" w:rsidRDefault="000A285D">
      <w:pPr>
        <w:pStyle w:val="BodyText"/>
        <w:spacing w:before="90" w:line="280" w:lineRule="auto"/>
        <w:ind w:left="100"/>
        <w:jc w:val="both"/>
        <w:rPr>
          <w:rFonts w:ascii="Arial" w:hAnsi="Arial" w:cs="Arial"/>
          <w:sz w:val="20"/>
        </w:rPr>
      </w:pPr>
      <w:r w:rsidRPr="000A285D">
        <w:rPr>
          <w:rFonts w:ascii="Arial" w:hAnsi="Arial" w:cs="Arial"/>
          <w:noProof/>
          <w:sz w:val="20"/>
        </w:rPr>
        <w:drawing>
          <wp:inline distT="0" distB="0" distL="0" distR="0" wp14:anchorId="44233D48" wp14:editId="11535D78">
            <wp:extent cx="2355850" cy="1425796"/>
            <wp:effectExtent l="0" t="0" r="6350" b="3175"/>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2381054" cy="1441050"/>
                    </a:xfrm>
                    <a:prstGeom prst="rect">
                      <a:avLst/>
                    </a:prstGeom>
                  </pic:spPr>
                </pic:pic>
              </a:graphicData>
            </a:graphic>
          </wp:inline>
        </w:drawing>
      </w:r>
    </w:p>
    <w:p w14:paraId="6E8DA043" w14:textId="77777777" w:rsidR="00AE3E37" w:rsidRDefault="00A9710C">
      <w:pPr>
        <w:pStyle w:val="Heading3"/>
        <w:spacing w:before="74"/>
      </w:pPr>
      <w:r>
        <w:rPr>
          <w:b w:val="0"/>
        </w:rPr>
        <w:br w:type="column"/>
      </w:r>
      <w:r>
        <w:rPr>
          <w:color w:val="BF5A14"/>
        </w:rPr>
        <w:lastRenderedPageBreak/>
        <w:t>Image</w:t>
      </w:r>
    </w:p>
    <w:p w14:paraId="4A4A0CF2" w14:textId="327ECDB6" w:rsidR="00AE3E37" w:rsidRPr="00F764D2" w:rsidRDefault="00D74659">
      <w:pPr>
        <w:pStyle w:val="BodyText"/>
        <w:spacing w:before="2"/>
        <w:rPr>
          <w:rFonts w:ascii="Arial"/>
          <w:sz w:val="16"/>
        </w:rPr>
      </w:pPr>
      <w:r w:rsidRPr="00D74659">
        <w:rPr>
          <w:rFonts w:ascii="Arial"/>
          <w:noProof/>
          <w:sz w:val="16"/>
        </w:rPr>
        <w:drawing>
          <wp:inline distT="0" distB="0" distL="0" distR="0" wp14:anchorId="45A6883F" wp14:editId="08F5113C">
            <wp:extent cx="2803525" cy="3301026"/>
            <wp:effectExtent l="0" t="0" r="0" b="0"/>
            <wp:docPr id="4" name="圖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srcRect t="2352" b="1"/>
                    <a:stretch/>
                  </pic:blipFill>
                  <pic:spPr bwMode="auto">
                    <a:xfrm>
                      <a:off x="0" y="0"/>
                      <a:ext cx="2807679" cy="3305917"/>
                    </a:xfrm>
                    <a:prstGeom prst="rect">
                      <a:avLst/>
                    </a:prstGeom>
                    <a:ln>
                      <a:noFill/>
                    </a:ln>
                    <a:extLst>
                      <a:ext uri="{53640926-AAD7-44D8-BBD7-CCE9431645EC}">
                        <a14:shadowObscured xmlns:a14="http://schemas.microsoft.com/office/drawing/2010/main"/>
                      </a:ext>
                    </a:extLst>
                  </pic:spPr>
                </pic:pic>
              </a:graphicData>
            </a:graphic>
          </wp:inline>
        </w:drawing>
      </w:r>
    </w:p>
    <w:p w14:paraId="15DF7B41" w14:textId="77777777" w:rsidR="005973B9" w:rsidRDefault="005973B9" w:rsidP="005973B9">
      <w:pPr>
        <w:spacing w:line="204" w:lineRule="exact"/>
        <w:rPr>
          <w:rFonts w:ascii="Arial"/>
          <w:b/>
          <w:sz w:val="20"/>
        </w:rPr>
      </w:pPr>
      <w:r>
        <w:rPr>
          <w:rFonts w:ascii="Arial"/>
          <w:b/>
          <w:color w:val="BF5A14"/>
          <w:sz w:val="20"/>
        </w:rPr>
        <w:br/>
        <w:t>Recent Publications (minimum 5)</w:t>
      </w:r>
    </w:p>
    <w:p w14:paraId="39883033" w14:textId="0E363AD6" w:rsidR="00FC7C2B" w:rsidRDefault="00FC7C2B" w:rsidP="005973B9">
      <w:pPr>
        <w:pStyle w:val="ListParagraph"/>
        <w:numPr>
          <w:ilvl w:val="0"/>
          <w:numId w:val="3"/>
        </w:numPr>
        <w:tabs>
          <w:tab w:val="left" w:pos="384"/>
        </w:tabs>
        <w:spacing w:before="103" w:line="216" w:lineRule="exact"/>
        <w:ind w:right="138" w:hanging="283"/>
        <w:rPr>
          <w:sz w:val="18"/>
        </w:rPr>
      </w:pPr>
      <w:r w:rsidRPr="00FC7C2B">
        <w:rPr>
          <w:sz w:val="18"/>
        </w:rPr>
        <w:t>Shih, Y. C., Chen, C. L., Zhang, Y.</w:t>
      </w:r>
      <w:r w:rsidR="00B970BE">
        <w:rPr>
          <w:sz w:val="18"/>
        </w:rPr>
        <w:t xml:space="preserve"> </w:t>
      </w:r>
      <w:r w:rsidR="00DC2AC6">
        <w:rPr>
          <w:sz w:val="18"/>
        </w:rPr>
        <w:t>et al.</w:t>
      </w:r>
      <w:r w:rsidRPr="00FC7C2B">
        <w:rPr>
          <w:sz w:val="18"/>
        </w:rPr>
        <w:t xml:space="preserve"> (2018). Endoplasmic Reticulum Protein TXNDC5 Augments Myocardial Fibrosis by Facilitating Extracellular Matrix Protein Folding and Redox-Sensitive Cardiac Fibroblast Activation. Circulation research, 122(8), 1052–1068. </w:t>
      </w:r>
    </w:p>
    <w:p w14:paraId="38ADE839" w14:textId="77777777" w:rsidR="00200E77" w:rsidRDefault="00200E77" w:rsidP="005973B9">
      <w:pPr>
        <w:pStyle w:val="ListParagraph"/>
        <w:numPr>
          <w:ilvl w:val="0"/>
          <w:numId w:val="3"/>
        </w:numPr>
        <w:tabs>
          <w:tab w:val="left" w:pos="384"/>
        </w:tabs>
        <w:spacing w:before="103" w:line="216" w:lineRule="exact"/>
        <w:ind w:right="138" w:hanging="283"/>
        <w:rPr>
          <w:sz w:val="18"/>
        </w:rPr>
      </w:pPr>
      <w:r w:rsidRPr="00200E77">
        <w:rPr>
          <w:sz w:val="18"/>
        </w:rPr>
        <w:t>Hsu, YT., Wu, CH., Chao, CY. et al. (2020)</w:t>
      </w:r>
      <w:r>
        <w:rPr>
          <w:sz w:val="18"/>
        </w:rPr>
        <w:t xml:space="preserve"> </w:t>
      </w:r>
      <w:r w:rsidRPr="00200E77">
        <w:rPr>
          <w:sz w:val="18"/>
        </w:rPr>
        <w:t xml:space="preserve">Hypochlorite-induced porcine model of peritoneal fibrosis through the activation of IL1β-CX3CL1-TGFβ1 signal axis. Sci Rep 10, 11496. </w:t>
      </w:r>
    </w:p>
    <w:p w14:paraId="02B2A86E" w14:textId="77777777" w:rsidR="00200E77" w:rsidRDefault="00200E77" w:rsidP="005973B9">
      <w:pPr>
        <w:pStyle w:val="ListParagraph"/>
        <w:numPr>
          <w:ilvl w:val="0"/>
          <w:numId w:val="3"/>
        </w:numPr>
        <w:tabs>
          <w:tab w:val="left" w:pos="384"/>
        </w:tabs>
        <w:spacing w:before="103" w:line="216" w:lineRule="exact"/>
        <w:ind w:right="138" w:hanging="283"/>
        <w:rPr>
          <w:sz w:val="18"/>
        </w:rPr>
      </w:pPr>
      <w:r w:rsidRPr="00200E77">
        <w:rPr>
          <w:sz w:val="18"/>
        </w:rPr>
        <w:t>Hung, CT., Tsai, YW., Wu, YS. et al. (2022)</w:t>
      </w:r>
      <w:r>
        <w:rPr>
          <w:sz w:val="18"/>
        </w:rPr>
        <w:t xml:space="preserve"> </w:t>
      </w:r>
      <w:r w:rsidRPr="00200E77">
        <w:rPr>
          <w:sz w:val="18"/>
        </w:rPr>
        <w:t>The novel role of ER protein TXNDC5 in the pathogenesis of organ fibrosis: mechanistic insights and therapeutic implications. J Biomed Sci 29, 63.</w:t>
      </w:r>
    </w:p>
    <w:p w14:paraId="1AF42FA6" w14:textId="77777777" w:rsidR="00200E77" w:rsidRDefault="00EC1888" w:rsidP="005973B9">
      <w:pPr>
        <w:pStyle w:val="ListParagraph"/>
        <w:numPr>
          <w:ilvl w:val="0"/>
          <w:numId w:val="3"/>
        </w:numPr>
        <w:tabs>
          <w:tab w:val="left" w:pos="384"/>
        </w:tabs>
        <w:spacing w:before="103" w:line="216" w:lineRule="exact"/>
        <w:ind w:right="138" w:hanging="283"/>
        <w:rPr>
          <w:sz w:val="18"/>
        </w:rPr>
      </w:pPr>
      <w:r w:rsidRPr="00EC1888">
        <w:rPr>
          <w:sz w:val="18"/>
        </w:rPr>
        <w:t xml:space="preserve">Balzer M. S. (2020). Molecular pathways in peritoneal fibrosis. Cellular </w:t>
      </w:r>
      <w:proofErr w:type="spellStart"/>
      <w:r w:rsidRPr="00EC1888">
        <w:rPr>
          <w:sz w:val="18"/>
        </w:rPr>
        <w:t>signalling</w:t>
      </w:r>
      <w:proofErr w:type="spellEnd"/>
      <w:r w:rsidRPr="00EC1888">
        <w:rPr>
          <w:sz w:val="18"/>
        </w:rPr>
        <w:t>, 75, 109778.</w:t>
      </w:r>
    </w:p>
    <w:p w14:paraId="24D4A2D0" w14:textId="77777777" w:rsidR="00EC1888" w:rsidRDefault="007A34E7" w:rsidP="005973B9">
      <w:pPr>
        <w:pStyle w:val="ListParagraph"/>
        <w:numPr>
          <w:ilvl w:val="0"/>
          <w:numId w:val="3"/>
        </w:numPr>
        <w:tabs>
          <w:tab w:val="left" w:pos="384"/>
        </w:tabs>
        <w:spacing w:before="103" w:line="216" w:lineRule="exact"/>
        <w:ind w:right="138" w:hanging="283"/>
        <w:rPr>
          <w:sz w:val="18"/>
        </w:rPr>
      </w:pPr>
      <w:proofErr w:type="spellStart"/>
      <w:r w:rsidRPr="007A34E7">
        <w:rPr>
          <w:sz w:val="18"/>
        </w:rPr>
        <w:t>Mittelmaier</w:t>
      </w:r>
      <w:proofErr w:type="spellEnd"/>
      <w:r w:rsidRPr="007A34E7">
        <w:rPr>
          <w:sz w:val="18"/>
        </w:rPr>
        <w:t xml:space="preserve">, S., </w:t>
      </w:r>
      <w:proofErr w:type="spellStart"/>
      <w:r w:rsidRPr="007A34E7">
        <w:rPr>
          <w:sz w:val="18"/>
        </w:rPr>
        <w:t>Niwa</w:t>
      </w:r>
      <w:proofErr w:type="spellEnd"/>
      <w:r w:rsidRPr="007A34E7">
        <w:rPr>
          <w:sz w:val="18"/>
        </w:rPr>
        <w:t xml:space="preserve">, T., &amp; </w:t>
      </w:r>
      <w:proofErr w:type="spellStart"/>
      <w:r w:rsidRPr="007A34E7">
        <w:rPr>
          <w:sz w:val="18"/>
        </w:rPr>
        <w:t>Pischetsrieder</w:t>
      </w:r>
      <w:proofErr w:type="spellEnd"/>
      <w:r w:rsidRPr="007A34E7">
        <w:rPr>
          <w:sz w:val="18"/>
        </w:rPr>
        <w:t xml:space="preserve">, M. (2012). Chemical and physiological relevance of glucose degradation products in peritoneal dialysis. Journal of renal </w:t>
      </w:r>
      <w:proofErr w:type="gramStart"/>
      <w:r w:rsidRPr="007A34E7">
        <w:rPr>
          <w:sz w:val="18"/>
        </w:rPr>
        <w:t>nutrition :</w:t>
      </w:r>
      <w:proofErr w:type="gramEnd"/>
      <w:r w:rsidRPr="007A34E7">
        <w:rPr>
          <w:sz w:val="18"/>
        </w:rPr>
        <w:t xml:space="preserve"> the official journal of the Council on Renal Nutrition of the National Kidney Foundation, 22(1), 181–185.</w:t>
      </w:r>
    </w:p>
    <w:p w14:paraId="0C76D630" w14:textId="77777777" w:rsidR="00AE3E37" w:rsidRPr="008756E6" w:rsidRDefault="00AE3E37" w:rsidP="008756E6">
      <w:pPr>
        <w:tabs>
          <w:tab w:val="left" w:pos="384"/>
        </w:tabs>
        <w:ind w:right="117"/>
      </w:pPr>
    </w:p>
    <w:p w14:paraId="4603B3FF" w14:textId="77777777"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14:paraId="171D1F32" w14:textId="77777777" w:rsidR="00AE3E37" w:rsidRDefault="00AE3E37">
      <w:pPr>
        <w:pStyle w:val="BodyText"/>
        <w:rPr>
          <w:rFonts w:ascii="Calibri"/>
          <w:sz w:val="20"/>
        </w:rPr>
      </w:pPr>
    </w:p>
    <w:p w14:paraId="534287AC" w14:textId="77777777"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0901331B" wp14:editId="0E125952">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dtdh="http://schemas.microsoft.com/office/word/2020/wordml/sdtdatahash" xmlns:w16="http://schemas.microsoft.com/office/word/2018/wordml" xmlns:w16cex="http://schemas.microsoft.com/office/word/2018/wordml/cex" xmlns:oel="http://schemas.microsoft.com/office/2019/extlst"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5950A7A9"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3A5BA867" w14:textId="77777777" w:rsidR="00AE3E37" w:rsidRDefault="00A52075" w:rsidP="00404E5B">
      <w:pPr>
        <w:spacing w:before="92"/>
        <w:ind w:right="4234"/>
        <w:rPr>
          <w:rFonts w:ascii="Arial"/>
        </w:rPr>
      </w:pPr>
      <w:r>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70F94F57" wp14:editId="0BF5CE5F">
                <wp:simplePos x="0" y="0"/>
                <wp:positionH relativeFrom="column">
                  <wp:posOffset>5092700</wp:posOffset>
                </wp:positionH>
                <wp:positionV relativeFrom="paragraph">
                  <wp:posOffset>55245</wp:posOffset>
                </wp:positionV>
                <wp:extent cx="1577340" cy="630000"/>
                <wp:effectExtent l="12700" t="12700" r="22860" b="3048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77340" cy="63000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2AF1049F" w14:textId="77777777" w:rsidR="00A52075" w:rsidRDefault="00FC7C2B" w:rsidP="00A52075">
                            <w:pPr>
                              <w:rPr>
                                <w:b/>
                                <w:color w:val="0000FF"/>
                                <w:lang w:val="en-IN"/>
                              </w:rPr>
                            </w:pPr>
                            <w:r>
                              <w:rPr>
                                <w:noProof/>
                              </w:rPr>
                              <w:drawing>
                                <wp:inline distT="0" distB="0" distL="0" distR="0" wp14:anchorId="3FD5C756" wp14:editId="1A18260B">
                                  <wp:extent cx="933983" cy="338400"/>
                                  <wp:effectExtent l="0" t="0" r="0" b="5080"/>
                                  <wp:docPr id="162" name="Picture 205">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1091E720-59D6-487A-8CAE-C71E1F9E127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Picture 205">
                                            <a:extLst>
                                              <a:ext uri="{FF2B5EF4-FFF2-40B4-BE49-F238E27FC236}">
                                                <a16:creationId xmlns:a16="http://schemas.microsoft.com/office/drawing/2014/main"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1091E720-59D6-487A-8CAE-C71E1F9E1277}"/>
                                              </a:ext>
                                            </a:extLst>
                                          </pic:cNvPr>
                                          <pic:cNvPicPr>
                                            <a:picLocks noChangeAspect="1"/>
                                          </pic:cNvPicPr>
                                        </pic:nvPicPr>
                                        <pic:blipFill rotWithShape="1">
                                          <a:blip r:embed="rId11">
                                            <a:extLst>
                                              <a:ext uri="{28A0092B-C50C-407E-A947-70E740481C1C}">
                                                <a14:useLocalDpi xmlns:a14="http://schemas.microsoft.com/office/drawing/2010/main" val="0"/>
                                              </a:ext>
                                            </a:extLst>
                                          </a:blip>
                                          <a:srcRect l="15409" t="34136" r="15046" b="35133"/>
                                          <a:stretch/>
                                        </pic:blipFill>
                                        <pic:spPr>
                                          <a:xfrm>
                                            <a:off x="0" y="0"/>
                                            <a:ext cx="933983" cy="338400"/>
                                          </a:xfrm>
                                          <a:prstGeom prst="rect">
                                            <a:avLst/>
                                          </a:prstGeom>
                                        </pic:spPr>
                                      </pic:pic>
                                    </a:graphicData>
                                  </a:graphic>
                                </wp:inline>
                              </w:drawing>
                            </w:r>
                            <w:r>
                              <w:rPr>
                                <w:noProof/>
                              </w:rPr>
                              <w:drawing>
                                <wp:inline distT="0" distB="0" distL="0" distR="0" wp14:anchorId="311C40B9" wp14:editId="46BED67D">
                                  <wp:extent cx="357553" cy="339407"/>
                                  <wp:effectExtent l="0" t="0" r="0" b="3810"/>
                                  <wp:docPr id="160" name="圖片 92" descr="69862562_480249249374064_6904338242477228032_n.png">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9F3E08C6-D6DA-400E-9D87-F243BE3A149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 name="圖片 92" descr="69862562_480249249374064_6904338242477228032_n.png">
                                            <a:extLst>
                                              <a:ext uri="{FF2B5EF4-FFF2-40B4-BE49-F238E27FC236}">
                                                <a16:creationId xmlns:a16="http://schemas.microsoft.com/office/drawing/2014/main"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9F3E08C6-D6DA-400E-9D87-F243BE3A1493}"/>
                                              </a:ext>
                                            </a:extLst>
                                          </pic:cNvPr>
                                          <pic:cNvPicPr>
                                            <a:picLocks noChangeAspect="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74354" cy="355355"/>
                                          </a:xfrm>
                                          <a:prstGeom prst="rect">
                                            <a:avLst/>
                                          </a:prstGeom>
                                          <a:noFill/>
                                          <a:ln>
                                            <a:noFill/>
                                          </a:ln>
                                        </pic:spPr>
                                      </pic:pic>
                                    </a:graphicData>
                                  </a:graphic>
                                </wp:inline>
                              </w:drawing>
                            </w:r>
                            <w:r w:rsidR="00A52075">
                              <w:rPr>
                                <w:b/>
                                <w:color w:val="0000FF"/>
                                <w:lang w:val="en-IN"/>
                              </w:rPr>
                              <w:t>Paste your Logo here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70F94F57" id="Rounded Rectangle 2" o:spid="_x0000_s1026" style="position:absolute;margin-left:401pt;margin-top:4.35pt;width:124.2pt;height:49.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" strokecolor="#9bbb59" strokeweight="2.5pt">
                <v:shadow color="#868686"/>
                <v:textbox>
                  <w:txbxContent>
                    <w:p w14:paraId="2AF1049F" w14:textId="77777777" w:rsidR="00A52075" w:rsidRDefault="00FC7C2B" w:rsidP="00A52075">
                      <w:pPr>
                        <w:rPr>
                          <w:b/>
                          <w:color w:val="0000FF"/>
                          <w:lang w:val="en-IN"/>
                        </w:rPr>
                      </w:pPr>
                      <w:r>
                        <w:rPr>
                          <w:noProof/>
                        </w:rPr>
                        <w:drawing>
                          <wp:inline distT="0" distB="0" distL="0" distR="0" wp14:anchorId="3FD5C756" wp14:editId="1A18260B">
                            <wp:extent cx="933983" cy="338400"/>
                            <wp:effectExtent l="0" t="0" r="0" b="5080"/>
                            <wp:docPr id="162" name="Picture 205">
                              <a:extLst xmlns:a="http://schemas.openxmlformats.org/drawingml/2006/main">
                                <a:ext uri="{FF2B5EF4-FFF2-40B4-BE49-F238E27FC236}">
                                  <a16:creationId xmlns:a16="http://schemas.microsoft.com/office/drawing/2014/main" id="{1091E720-59D6-487A-8CAE-C71E1F9E127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Picture 205">
                                      <a:extLst>
                                        <a:ext uri="{FF2B5EF4-FFF2-40B4-BE49-F238E27FC236}">
                                          <a16:creationId xmlns:a16="http://schemas.microsoft.com/office/drawing/2014/main" id="{1091E720-59D6-487A-8CAE-C71E1F9E1277}"/>
                                        </a:ext>
                                      </a:extLst>
                                    </pic:cNvPr>
                                    <pic:cNvPicPr>
                                      <a:picLocks noChangeAspect="1"/>
                                    </pic:cNvPicPr>
                                  </pic:nvPicPr>
                                  <pic:blipFill rotWithShape="1">
                                    <a:blip r:embed="rId13">
                                      <a:extLst>
                                        <a:ext uri="{28A0092B-C50C-407E-A947-70E740481C1C}">
                                          <a14:useLocalDpi xmlns:a14="http://schemas.microsoft.com/office/drawing/2010/main" val="0"/>
                                        </a:ext>
                                      </a:extLst>
                                    </a:blip>
                                    <a:srcRect l="15409" t="34136" r="15046" b="35133"/>
                                    <a:stretch/>
                                  </pic:blipFill>
                                  <pic:spPr>
                                    <a:xfrm>
                                      <a:off x="0" y="0"/>
                                      <a:ext cx="933983" cy="338400"/>
                                    </a:xfrm>
                                    <a:prstGeom prst="rect">
                                      <a:avLst/>
                                    </a:prstGeom>
                                  </pic:spPr>
                                </pic:pic>
                              </a:graphicData>
                            </a:graphic>
                          </wp:inline>
                        </w:drawing>
                      </w:r>
                      <w:r>
                        <w:rPr>
                          <w:noProof/>
                        </w:rPr>
                        <w:drawing>
                          <wp:inline distT="0" distB="0" distL="0" distR="0" wp14:anchorId="311C40B9" wp14:editId="46BED67D">
                            <wp:extent cx="357553" cy="339407"/>
                            <wp:effectExtent l="0" t="0" r="0" b="3810"/>
                            <wp:docPr id="160" name="圖片 92" descr="69862562_480249249374064_6904338242477228032_n.png">
                              <a:extLst xmlns:a="http://schemas.openxmlformats.org/drawingml/2006/main">
                                <a:ext uri="{FF2B5EF4-FFF2-40B4-BE49-F238E27FC236}">
                                  <a16:creationId xmlns:a16="http://schemas.microsoft.com/office/drawing/2014/main" id="{9F3E08C6-D6DA-400E-9D87-F243BE3A149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 name="圖片 92" descr="69862562_480249249374064_6904338242477228032_n.png">
                                      <a:extLst>
                                        <a:ext uri="{FF2B5EF4-FFF2-40B4-BE49-F238E27FC236}">
                                          <a16:creationId xmlns:a16="http://schemas.microsoft.com/office/drawing/2014/main" id="{9F3E08C6-D6DA-400E-9D87-F243BE3A1493}"/>
                                        </a:ext>
                                      </a:extLst>
                                    </pic:cNvPr>
                                    <pic:cNvPicPr>
                                      <a:picLocks noChangeAspect="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74354" cy="355355"/>
                                    </a:xfrm>
                                    <a:prstGeom prst="rect">
                                      <a:avLst/>
                                    </a:prstGeom>
                                    <a:noFill/>
                                    <a:ln>
                                      <a:noFill/>
                                    </a:ln>
                                  </pic:spPr>
                                </pic:pic>
                              </a:graphicData>
                            </a:graphic>
                          </wp:inline>
                        </w:drawing>
                      </w:r>
                      <w:r w:rsidR="00A52075">
                        <w:rPr>
                          <w:b/>
                          <w:color w:val="0000FF"/>
                          <w:lang w:val="en-IN"/>
                        </w:rPr>
                        <w:t>Paste your Logo here</w:t>
                      </w:r>
                    </w:p>
                  </w:txbxContent>
                </v:textbox>
              </v:roundrect>
            </w:pict>
          </mc:Fallback>
        </mc:AlternateContent>
      </w:r>
      <w:r w:rsidR="008756E6">
        <w:rPr>
          <w:noProof/>
        </w:rPr>
        <w:t xml:space="preserve">      </w:t>
      </w:r>
      <w:r w:rsidR="00AC7353">
        <w:rPr>
          <w:rFonts w:ascii="Arial"/>
          <w:noProof/>
          <w:color w:val="BF5A14"/>
        </w:rPr>
        <w:drawing>
          <wp:inline distT="0" distB="0" distL="0" distR="0" wp14:anchorId="0354369C" wp14:editId="50BF9EE4">
            <wp:extent cx="615950" cy="660570"/>
            <wp:effectExtent l="0" t="0" r="0" b="6350"/>
            <wp:docPr id="3" name="圖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__14204937.jpg"/>
                    <pic:cNvPicPr/>
                  </pic:nvPicPr>
                  <pic:blipFill rotWithShape="1">
                    <a:blip r:embed="rId15" cstate="print">
                      <a:extLst>
                        <a:ext uri="{28A0092B-C50C-407E-A947-70E740481C1C}">
                          <a14:useLocalDpi xmlns:a14="http://schemas.microsoft.com/office/drawing/2010/main" val="0"/>
                        </a:ext>
                      </a:extLst>
                    </a:blip>
                    <a:srcRect t="706" r="26305" b="39956"/>
                    <a:stretch/>
                  </pic:blipFill>
                  <pic:spPr bwMode="auto">
                    <a:xfrm>
                      <a:off x="0" y="0"/>
                      <a:ext cx="674254" cy="723097"/>
                    </a:xfrm>
                    <a:prstGeom prst="rect">
                      <a:avLst/>
                    </a:prstGeom>
                    <a:ln>
                      <a:noFill/>
                    </a:ln>
                    <a:extLst>
                      <a:ext uri="{53640926-AAD7-44D8-BBD7-CCE9431645EC}">
                        <a14:shadowObscured xmlns:a14="http://schemas.microsoft.com/office/drawing/2010/main"/>
                      </a:ext>
                    </a:extLst>
                  </pic:spPr>
                </pic:pic>
              </a:graphicData>
            </a:graphic>
          </wp:inline>
        </w:drawing>
      </w:r>
      <w:r w:rsidR="00A9710C">
        <w:rPr>
          <w:rFonts w:ascii="Arial"/>
          <w:color w:val="BF5A14"/>
        </w:rPr>
        <w:t>Biography</w:t>
      </w:r>
      <w:r w:rsidR="00404E5B">
        <w:rPr>
          <w:rFonts w:ascii="Arial"/>
          <w:color w:val="BF5A14"/>
        </w:rPr>
        <w:t xml:space="preserve"> (150 word limit)</w:t>
      </w:r>
      <w:r w:rsidRPr="00A52075">
        <w:rPr>
          <w:rFonts w:ascii="Times New Roman" w:hAnsi="Times New Roman" w:cs="Times New Roman"/>
          <w:sz w:val="24"/>
          <w:szCs w:val="24"/>
        </w:rPr>
        <w:t xml:space="preserve"> </w:t>
      </w:r>
    </w:p>
    <w:p w14:paraId="695845DE" w14:textId="537356C5" w:rsidR="00AE3E37" w:rsidRDefault="005947AE" w:rsidP="00FD1177">
      <w:pPr>
        <w:spacing w:before="41" w:line="154" w:lineRule="exact"/>
        <w:ind w:left="213" w:right="231"/>
        <w:jc w:val="both"/>
        <w:rPr>
          <w:rFonts w:ascii="Arial"/>
          <w:sz w:val="14"/>
        </w:rPr>
      </w:pPr>
      <w:bookmarkStart w:id="1" w:name="_Hlk122017495"/>
      <w:r w:rsidRPr="005947AE">
        <w:rPr>
          <w:rFonts w:ascii="Arial"/>
          <w:sz w:val="14"/>
        </w:rPr>
        <w:t xml:space="preserve">Chun-Jung </w:t>
      </w:r>
      <w:proofErr w:type="spellStart"/>
      <w:r w:rsidRPr="005947AE">
        <w:rPr>
          <w:rFonts w:ascii="Arial"/>
          <w:sz w:val="14"/>
        </w:rPr>
        <w:t>Chien</w:t>
      </w:r>
      <w:proofErr w:type="spellEnd"/>
      <w:r w:rsidR="00FD1177">
        <w:rPr>
          <w:rFonts w:ascii="Arial"/>
          <w:sz w:val="14"/>
        </w:rPr>
        <w:t xml:space="preserve"> </w:t>
      </w:r>
      <w:bookmarkEnd w:id="1"/>
      <w:r w:rsidR="00FD1177">
        <w:rPr>
          <w:rFonts w:ascii="Arial"/>
          <w:sz w:val="14"/>
        </w:rPr>
        <w:t>major</w:t>
      </w:r>
      <w:r w:rsidR="00406C50">
        <w:rPr>
          <w:rFonts w:ascii="Arial"/>
          <w:sz w:val="14"/>
        </w:rPr>
        <w:t>s</w:t>
      </w:r>
      <w:r w:rsidR="00FD1177">
        <w:rPr>
          <w:rFonts w:ascii="Arial"/>
          <w:sz w:val="14"/>
        </w:rPr>
        <w:t xml:space="preserve"> </w:t>
      </w:r>
      <w:r w:rsidR="00406C50">
        <w:rPr>
          <w:rFonts w:ascii="Arial"/>
          <w:sz w:val="14"/>
        </w:rPr>
        <w:t xml:space="preserve">in </w:t>
      </w:r>
      <w:r w:rsidR="00FD1177" w:rsidRPr="00FD1177">
        <w:rPr>
          <w:rFonts w:ascii="Arial"/>
          <w:sz w:val="14"/>
        </w:rPr>
        <w:t>veterinary medicine</w:t>
      </w:r>
      <w:r w:rsidR="00FD1177">
        <w:rPr>
          <w:rFonts w:ascii="Arial"/>
          <w:sz w:val="14"/>
        </w:rPr>
        <w:t xml:space="preserve"> </w:t>
      </w:r>
      <w:r w:rsidR="00406C50">
        <w:rPr>
          <w:rFonts w:ascii="Arial"/>
          <w:sz w:val="14"/>
        </w:rPr>
        <w:t>at</w:t>
      </w:r>
      <w:r w:rsidR="00FD1177">
        <w:rPr>
          <w:rFonts w:ascii="Arial"/>
          <w:sz w:val="14"/>
        </w:rPr>
        <w:t xml:space="preserve"> NPUST</w:t>
      </w:r>
      <w:r w:rsidR="00195F5C">
        <w:rPr>
          <w:rFonts w:ascii="Arial"/>
          <w:sz w:val="14"/>
        </w:rPr>
        <w:t>, after obtaining her DVM license,</w:t>
      </w:r>
      <w:r w:rsidR="00FD1177">
        <w:rPr>
          <w:rFonts w:ascii="Arial"/>
          <w:sz w:val="14"/>
        </w:rPr>
        <w:t xml:space="preserve"> </w:t>
      </w:r>
      <w:r w:rsidR="00195F5C">
        <w:rPr>
          <w:rFonts w:ascii="Arial"/>
          <w:sz w:val="14"/>
        </w:rPr>
        <w:t>she continues her</w:t>
      </w:r>
      <w:r w:rsidR="00406C50">
        <w:rPr>
          <w:rFonts w:ascii="Arial"/>
          <w:sz w:val="14"/>
        </w:rPr>
        <w:t xml:space="preserve"> </w:t>
      </w:r>
      <w:r w:rsidR="00FD1177">
        <w:rPr>
          <w:rFonts w:ascii="Arial"/>
          <w:sz w:val="14"/>
        </w:rPr>
        <w:t>stud</w:t>
      </w:r>
      <w:r w:rsidR="00406C50">
        <w:rPr>
          <w:rFonts w:ascii="Arial"/>
          <w:sz w:val="14"/>
        </w:rPr>
        <w:t>y</w:t>
      </w:r>
      <w:r w:rsidR="00FD1177">
        <w:rPr>
          <w:rFonts w:ascii="Arial"/>
          <w:sz w:val="14"/>
        </w:rPr>
        <w:t xml:space="preserve"> for </w:t>
      </w:r>
      <w:r w:rsidR="00406C50">
        <w:rPr>
          <w:rFonts w:ascii="Arial"/>
          <w:sz w:val="14"/>
        </w:rPr>
        <w:t xml:space="preserve">a </w:t>
      </w:r>
      <w:r w:rsidR="00FD1177">
        <w:rPr>
          <w:rFonts w:ascii="Arial"/>
          <w:sz w:val="14"/>
        </w:rPr>
        <w:t xml:space="preserve">master degree in the </w:t>
      </w:r>
      <w:r w:rsidR="00FD1177" w:rsidRPr="00FD1177">
        <w:rPr>
          <w:rFonts w:ascii="Arial"/>
          <w:sz w:val="14"/>
        </w:rPr>
        <w:t xml:space="preserve">conservation reproductive biology </w:t>
      </w:r>
      <w:r w:rsidR="00FD1177">
        <w:rPr>
          <w:rFonts w:ascii="Arial"/>
          <w:sz w:val="14"/>
        </w:rPr>
        <w:t xml:space="preserve">and </w:t>
      </w:r>
      <w:r w:rsidR="00FD1177" w:rsidRPr="00FD1177">
        <w:rPr>
          <w:rFonts w:ascii="Arial"/>
          <w:sz w:val="14"/>
        </w:rPr>
        <w:t>regenerative medicine</w:t>
      </w:r>
      <w:r w:rsidR="00FD1177">
        <w:rPr>
          <w:rFonts w:ascii="Arial"/>
          <w:sz w:val="14"/>
        </w:rPr>
        <w:t xml:space="preserve"> lab </w:t>
      </w:r>
      <w:r w:rsidR="00195F5C">
        <w:rPr>
          <w:rFonts w:ascii="Arial"/>
          <w:sz w:val="14"/>
        </w:rPr>
        <w:t xml:space="preserve">at the graduate institute of Veterinary Medicine </w:t>
      </w:r>
      <w:r w:rsidR="00406C50">
        <w:rPr>
          <w:rFonts w:ascii="Arial"/>
          <w:sz w:val="14"/>
        </w:rPr>
        <w:t xml:space="preserve">at </w:t>
      </w:r>
      <w:r w:rsidR="00195F5C">
        <w:rPr>
          <w:rFonts w:ascii="Arial"/>
          <w:sz w:val="14"/>
        </w:rPr>
        <w:t>National Taiwan University</w:t>
      </w:r>
      <w:r w:rsidR="00FD1177">
        <w:rPr>
          <w:rFonts w:ascii="Arial"/>
          <w:sz w:val="14"/>
        </w:rPr>
        <w:t xml:space="preserve">. </w:t>
      </w:r>
      <w:r w:rsidR="00195F5C">
        <w:rPr>
          <w:rFonts w:ascii="Arial"/>
          <w:sz w:val="14"/>
        </w:rPr>
        <w:t>Her research</w:t>
      </w:r>
      <w:r w:rsidR="00D134BD" w:rsidRPr="00D134BD">
        <w:rPr>
          <w:rFonts w:ascii="Arial"/>
          <w:sz w:val="14"/>
        </w:rPr>
        <w:t xml:space="preserve"> </w:t>
      </w:r>
      <w:r w:rsidR="00195F5C">
        <w:rPr>
          <w:rFonts w:ascii="Arial"/>
          <w:sz w:val="14"/>
        </w:rPr>
        <w:t>focuses on</w:t>
      </w:r>
      <w:r w:rsidR="00D134BD">
        <w:rPr>
          <w:rFonts w:ascii="Arial"/>
          <w:sz w:val="14"/>
        </w:rPr>
        <w:t xml:space="preserve"> </w:t>
      </w:r>
      <w:r w:rsidR="00406C50">
        <w:rPr>
          <w:rFonts w:ascii="Arial"/>
          <w:sz w:val="14"/>
        </w:rPr>
        <w:t>investigating</w:t>
      </w:r>
      <w:r w:rsidR="00D134BD">
        <w:rPr>
          <w:rFonts w:ascii="Arial"/>
          <w:sz w:val="14"/>
        </w:rPr>
        <w:t xml:space="preserve"> the mechanism </w:t>
      </w:r>
      <w:r w:rsidR="00195F5C">
        <w:rPr>
          <w:rFonts w:ascii="Arial"/>
          <w:sz w:val="14"/>
        </w:rPr>
        <w:t>of peritoneal dialysis-induced fibrosis a</w:t>
      </w:r>
      <w:r w:rsidR="00D134BD">
        <w:rPr>
          <w:rFonts w:ascii="Arial"/>
          <w:sz w:val="14"/>
        </w:rPr>
        <w:t xml:space="preserve">nd </w:t>
      </w:r>
      <w:r w:rsidR="00195F5C">
        <w:rPr>
          <w:rFonts w:ascii="Arial"/>
          <w:sz w:val="14"/>
        </w:rPr>
        <w:t xml:space="preserve">exploring </w:t>
      </w:r>
      <w:r w:rsidR="00D134BD">
        <w:rPr>
          <w:rFonts w:ascii="Arial"/>
          <w:sz w:val="14"/>
        </w:rPr>
        <w:t xml:space="preserve">novel </w:t>
      </w:r>
      <w:r w:rsidR="00406C50">
        <w:rPr>
          <w:rFonts w:ascii="Arial"/>
          <w:sz w:val="14"/>
        </w:rPr>
        <w:t xml:space="preserve">therapeutic </w:t>
      </w:r>
      <w:r w:rsidR="00195F5C">
        <w:rPr>
          <w:rFonts w:ascii="Arial"/>
          <w:sz w:val="14"/>
        </w:rPr>
        <w:t>approaches</w:t>
      </w:r>
      <w:r w:rsidR="00D134BD">
        <w:rPr>
          <w:rFonts w:ascii="Arial"/>
          <w:sz w:val="14"/>
        </w:rPr>
        <w:t xml:space="preserve"> </w:t>
      </w:r>
      <w:r w:rsidR="00406C50">
        <w:rPr>
          <w:rFonts w:ascii="Arial"/>
          <w:sz w:val="14"/>
        </w:rPr>
        <w:t>for</w:t>
      </w:r>
      <w:r w:rsidR="00D134BD">
        <w:rPr>
          <w:rFonts w:ascii="Arial"/>
          <w:sz w:val="14"/>
        </w:rPr>
        <w:t xml:space="preserve"> peritoneal fibrosis. </w:t>
      </w:r>
    </w:p>
    <w:p w14:paraId="7A7D364D" w14:textId="77777777" w:rsidR="00AE3E37" w:rsidRDefault="00A9710C">
      <w:pPr>
        <w:spacing w:before="62"/>
        <w:ind w:left="4217" w:right="4235"/>
        <w:jc w:val="center"/>
        <w:rPr>
          <w:rFonts w:ascii="Arial"/>
          <w:sz w:val="14"/>
        </w:rPr>
      </w:pPr>
      <w:r>
        <w:rPr>
          <w:rFonts w:ascii="Arial"/>
          <w:sz w:val="14"/>
        </w:rPr>
        <w:t xml:space="preserve">Email: </w:t>
      </w:r>
      <w:hyperlink r:id="rId16" w:history="1">
        <w:r w:rsidR="007A34E7" w:rsidRPr="006267EB">
          <w:rPr>
            <w:rStyle w:val="Hyperlink"/>
            <w:rFonts w:ascii="Arial"/>
            <w:sz w:val="14"/>
          </w:rPr>
          <w:t>r10629007@ntu.edu.</w:t>
        </w:r>
      </w:hyperlink>
      <w:r w:rsidR="007A34E7">
        <w:rPr>
          <w:rStyle w:val="Hyperlink"/>
          <w:rFonts w:ascii="Arial"/>
          <w:sz w:val="14"/>
        </w:rPr>
        <w:t>tw</w:t>
      </w:r>
    </w:p>
    <w:p w14:paraId="30993451" w14:textId="77777777" w:rsidR="00AE3E37" w:rsidRDefault="00292ED9">
      <w:pPr>
        <w:pStyle w:val="BodyText"/>
        <w:spacing w:before="2"/>
        <w:rPr>
          <w:rFonts w:ascii="Arial"/>
          <w:sz w:val="19"/>
        </w:rPr>
      </w:pPr>
      <w:r>
        <w:rPr>
          <w:noProof/>
        </w:rPr>
        <w:lastRenderedPageBreak/>
        <mc:AlternateContent>
          <mc:Choice Requires="wps">
            <w:drawing>
              <wp:anchor distT="0" distB="0" distL="0" distR="0" simplePos="0" relativeHeight="1072" behindDoc="0" locked="0" layoutInCell="1" allowOverlap="1" wp14:anchorId="623F6EB7" wp14:editId="368743D0">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62A2FE27"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0078C326" w14:textId="77777777" w:rsidR="00AE3E37" w:rsidRDefault="00AE3E37">
      <w:pPr>
        <w:pStyle w:val="BodyText"/>
        <w:rPr>
          <w:rFonts w:ascii="Arial"/>
          <w:sz w:val="20"/>
        </w:rPr>
      </w:pPr>
    </w:p>
    <w:p w14:paraId="33E3335D" w14:textId="77777777" w:rsidR="00AE3E37" w:rsidRDefault="00AE3E37">
      <w:pPr>
        <w:pStyle w:val="BodyText"/>
        <w:rPr>
          <w:rFonts w:ascii="Arial"/>
          <w:sz w:val="20"/>
        </w:rPr>
      </w:pPr>
    </w:p>
    <w:p w14:paraId="2E365738" w14:textId="77777777" w:rsidR="00AE3E37" w:rsidRDefault="00AE3E37">
      <w:pPr>
        <w:pStyle w:val="BodyText"/>
        <w:spacing w:before="7"/>
        <w:rPr>
          <w:rFonts w:ascii="Arial"/>
          <w:sz w:val="29"/>
        </w:rPr>
      </w:pPr>
    </w:p>
    <w:p w14:paraId="75BCDBEA" w14:textId="65839499" w:rsidR="00AE3E37" w:rsidRDefault="00A9710C" w:rsidP="000534A1">
      <w:pPr>
        <w:spacing w:before="39"/>
        <w:ind w:left="100"/>
        <w:rPr>
          <w:rFonts w:ascii="Minion Pro"/>
          <w:b/>
          <w:sz w:val="20"/>
        </w:rPr>
      </w:pPr>
      <w:r w:rsidRPr="00B21A57">
        <w:rPr>
          <w:rFonts w:ascii="Minion Pro"/>
          <w:b/>
          <w:sz w:val="20"/>
        </w:rPr>
        <w:t>Notes/Comments:</w:t>
      </w:r>
    </w:p>
    <w:p w14:paraId="694D9D06" w14:textId="77777777" w:rsidR="00EA7D51" w:rsidRDefault="00EA7D51" w:rsidP="000534A1">
      <w:pPr>
        <w:spacing w:before="39"/>
        <w:ind w:left="100"/>
        <w:rPr>
          <w:rFonts w:ascii="Minion Pro"/>
          <w:b/>
          <w:sz w:val="20"/>
        </w:rPr>
      </w:pPr>
    </w:p>
    <w:p w14:paraId="618DDEE5" w14:textId="77777777" w:rsidR="00EA7D51" w:rsidRDefault="00EA7D51" w:rsidP="000534A1">
      <w:pPr>
        <w:spacing w:before="39"/>
        <w:ind w:left="100"/>
        <w:rPr>
          <w:rFonts w:ascii="Minion Pro"/>
          <w:b/>
          <w:sz w:val="20"/>
        </w:rPr>
      </w:pPr>
    </w:p>
    <w:p w14:paraId="1AACF0BA" w14:textId="42F15956" w:rsidR="00EA7D51" w:rsidRPr="00F35A62" w:rsidRDefault="00EA7D51" w:rsidP="00EA7D51">
      <w:pPr>
        <w:autoSpaceDE w:val="0"/>
        <w:autoSpaceDN w:val="0"/>
        <w:adjustRightInd w:val="0"/>
        <w:rPr>
          <w:b/>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r w:rsidR="00D134BD" w:rsidRPr="00D134BD">
        <w:rPr>
          <w:sz w:val="20"/>
          <w:szCs w:val="20"/>
          <w:lang w:val="en-NZ"/>
        </w:rPr>
        <w:t xml:space="preserve">Chun-Jung </w:t>
      </w:r>
      <w:proofErr w:type="spellStart"/>
      <w:r w:rsidR="00D134BD" w:rsidRPr="00D134BD">
        <w:rPr>
          <w:sz w:val="20"/>
          <w:szCs w:val="20"/>
          <w:lang w:val="en-NZ"/>
        </w:rPr>
        <w:t>Chien</w:t>
      </w:r>
      <w:proofErr w:type="spellEnd"/>
      <w:r w:rsidRPr="00F35A62">
        <w:rPr>
          <w:sz w:val="20"/>
          <w:szCs w:val="20"/>
          <w:lang w:val="en-NZ"/>
        </w:rPr>
        <w:br/>
        <w:t>Contact number:</w:t>
      </w:r>
      <w:r w:rsidR="00D134BD">
        <w:rPr>
          <w:sz w:val="20"/>
          <w:szCs w:val="20"/>
          <w:lang w:val="en-NZ"/>
        </w:rPr>
        <w:t xml:space="preserve"> </w:t>
      </w:r>
      <w:r w:rsidR="00195F5C">
        <w:rPr>
          <w:sz w:val="20"/>
          <w:szCs w:val="20"/>
          <w:lang w:val="en-NZ"/>
        </w:rPr>
        <w:t>+886-</w:t>
      </w:r>
      <w:r w:rsidR="00D134BD">
        <w:rPr>
          <w:sz w:val="20"/>
          <w:szCs w:val="20"/>
          <w:lang w:val="en-NZ"/>
        </w:rPr>
        <w:t>0905559670</w:t>
      </w:r>
      <w:r w:rsidRPr="00F35A62">
        <w:rPr>
          <w:sz w:val="20"/>
          <w:szCs w:val="20"/>
          <w:lang w:val="en-NZ"/>
        </w:rPr>
        <w:br/>
        <w:t>Twitter account:</w:t>
      </w:r>
      <w:r w:rsidRPr="00F35A62">
        <w:rPr>
          <w:sz w:val="20"/>
          <w:szCs w:val="20"/>
          <w:lang w:val="en-NZ"/>
        </w:rPr>
        <w:br/>
        <w:t>Linked In account:</w:t>
      </w:r>
    </w:p>
    <w:p w14:paraId="779BDADF" w14:textId="22374191" w:rsidR="00EA7D51" w:rsidRPr="00F35A62" w:rsidRDefault="00EA7D51" w:rsidP="00EA7D51">
      <w:pPr>
        <w:autoSpaceDE w:val="0"/>
        <w:autoSpaceDN w:val="0"/>
        <w:adjustRightInd w:val="0"/>
        <w:rPr>
          <w:sz w:val="20"/>
          <w:szCs w:val="20"/>
          <w:lang w:val="en-NZ"/>
        </w:rPr>
      </w:pPr>
      <w:r w:rsidRPr="00F35A62">
        <w:rPr>
          <w:sz w:val="20"/>
          <w:szCs w:val="20"/>
          <w:lang w:val="en-NZ"/>
        </w:rPr>
        <w:t xml:space="preserve">Session name/ number: </w:t>
      </w:r>
      <w:r w:rsidRPr="00F35A62">
        <w:rPr>
          <w:sz w:val="20"/>
          <w:szCs w:val="20"/>
          <w:lang w:val="en-NZ"/>
        </w:rPr>
        <w:br/>
        <w:t>Category: (Oral presentation/ Poster presentation)</w:t>
      </w:r>
      <w:r w:rsidRPr="00F35A62">
        <w:rPr>
          <w:sz w:val="20"/>
          <w:szCs w:val="20"/>
          <w:lang w:val="en-NZ"/>
        </w:rPr>
        <w:br/>
      </w:r>
    </w:p>
    <w:p w14:paraId="31288BE8" w14:textId="77777777" w:rsidR="00EA7D51" w:rsidRPr="000534A1" w:rsidRDefault="00EA7D51" w:rsidP="000534A1">
      <w:pPr>
        <w:spacing w:before="39"/>
        <w:ind w:left="100"/>
        <w:rPr>
          <w:rFonts w:ascii="Minion Pro"/>
          <w:b/>
          <w:sz w:val="20"/>
        </w:rPr>
        <w:sectPr w:rsidR="00EA7D51" w:rsidRPr="000534A1" w:rsidSect="008E5477">
          <w:type w:val="continuous"/>
          <w:pgSz w:w="11910" w:h="16840"/>
          <w:pgMar w:top="995" w:right="600" w:bottom="840" w:left="620" w:header="720" w:footer="720" w:gutter="0"/>
          <w:cols w:space="720"/>
        </w:sectPr>
      </w:pPr>
    </w:p>
    <w:p w14:paraId="7B8C1686" w14:textId="77777777" w:rsidR="00AE3E37" w:rsidRDefault="00AE3E37" w:rsidP="00475D20">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D3FA887" w14:textId="77777777" w:rsidR="00D96B28" w:rsidRDefault="00D96B28">
      <w:r>
        <w:separator/>
      </w:r>
    </w:p>
  </w:endnote>
  <w:endnote w:type="continuationSeparator" w:id="0">
    <w:p w14:paraId="71B72786" w14:textId="77777777" w:rsidR="00D96B28" w:rsidRDefault="00D96B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MingLiU">
    <w:altName w:val="Arial Unicode MS"/>
    <w:panose1 w:val="02010601000101010101"/>
    <w:charset w:val="88"/>
    <w:family w:val="auto"/>
    <w:notTrueType/>
    <w:pitch w:val="variable"/>
    <w:sig w:usb0="00000000" w:usb1="08080000" w:usb2="00000010" w:usb3="00000000" w:csb0="00100000"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DEE1869"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5ED8FEC8" wp14:editId="45B316FF">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0659C8"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50AF19C8"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5ED8FEC8"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14:paraId="2A0659C8"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50AF19C8"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02861466" wp14:editId="6CC945C6">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EEA09A"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693E3F9"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2861466"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14:paraId="1DEEA09A"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693E3F9"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0086AA08" wp14:editId="4935AB14">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BCF5B4"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1A2AB763"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086AA08"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14:paraId="06BCF5B4"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1A2AB763"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59E967B" w14:textId="77777777" w:rsidR="00D96B28" w:rsidRDefault="00D96B28">
      <w:r>
        <w:separator/>
      </w:r>
    </w:p>
  </w:footnote>
  <w:footnote w:type="continuationSeparator" w:id="0">
    <w:p w14:paraId="2075EB1D" w14:textId="77777777" w:rsidR="00D96B28" w:rsidRDefault="00D96B2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oNotDisplayPageBoundaries/>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07250"/>
    <w:rsid w:val="000534A1"/>
    <w:rsid w:val="0006797A"/>
    <w:rsid w:val="000A285D"/>
    <w:rsid w:val="000B4CAA"/>
    <w:rsid w:val="000E2911"/>
    <w:rsid w:val="001263DF"/>
    <w:rsid w:val="00195F5C"/>
    <w:rsid w:val="00200E77"/>
    <w:rsid w:val="00292ED9"/>
    <w:rsid w:val="003004C0"/>
    <w:rsid w:val="003423DD"/>
    <w:rsid w:val="00351D9B"/>
    <w:rsid w:val="00380299"/>
    <w:rsid w:val="00404E5B"/>
    <w:rsid w:val="00406C50"/>
    <w:rsid w:val="00414F7B"/>
    <w:rsid w:val="004355DC"/>
    <w:rsid w:val="004749B4"/>
    <w:rsid w:val="00475D20"/>
    <w:rsid w:val="00494130"/>
    <w:rsid w:val="004F3523"/>
    <w:rsid w:val="00507697"/>
    <w:rsid w:val="00530A2A"/>
    <w:rsid w:val="00590D60"/>
    <w:rsid w:val="005947AE"/>
    <w:rsid w:val="005973B9"/>
    <w:rsid w:val="005A21D1"/>
    <w:rsid w:val="005B3A56"/>
    <w:rsid w:val="006060CE"/>
    <w:rsid w:val="0061505C"/>
    <w:rsid w:val="0063497F"/>
    <w:rsid w:val="00714354"/>
    <w:rsid w:val="007A34E7"/>
    <w:rsid w:val="00873DF0"/>
    <w:rsid w:val="008756E6"/>
    <w:rsid w:val="00897EC5"/>
    <w:rsid w:val="008A0763"/>
    <w:rsid w:val="008E5477"/>
    <w:rsid w:val="009B2D44"/>
    <w:rsid w:val="009C6711"/>
    <w:rsid w:val="009F0947"/>
    <w:rsid w:val="00A07E82"/>
    <w:rsid w:val="00A12763"/>
    <w:rsid w:val="00A226D6"/>
    <w:rsid w:val="00A500AE"/>
    <w:rsid w:val="00A52075"/>
    <w:rsid w:val="00A9710C"/>
    <w:rsid w:val="00AC7353"/>
    <w:rsid w:val="00AE3E37"/>
    <w:rsid w:val="00B21A57"/>
    <w:rsid w:val="00B970BE"/>
    <w:rsid w:val="00BE6743"/>
    <w:rsid w:val="00C33602"/>
    <w:rsid w:val="00C56C74"/>
    <w:rsid w:val="00C97D96"/>
    <w:rsid w:val="00CD6F55"/>
    <w:rsid w:val="00D134BD"/>
    <w:rsid w:val="00D74659"/>
    <w:rsid w:val="00D95FE4"/>
    <w:rsid w:val="00D96B28"/>
    <w:rsid w:val="00DC2AC6"/>
    <w:rsid w:val="00DE3104"/>
    <w:rsid w:val="00DE6170"/>
    <w:rsid w:val="00E30AAC"/>
    <w:rsid w:val="00E95D97"/>
    <w:rsid w:val="00EA7D51"/>
    <w:rsid w:val="00EC1888"/>
    <w:rsid w:val="00F046EA"/>
    <w:rsid w:val="00F312EA"/>
    <w:rsid w:val="00F35A62"/>
    <w:rsid w:val="00F72EEA"/>
    <w:rsid w:val="00F764D2"/>
    <w:rsid w:val="00F8413D"/>
    <w:rsid w:val="00F84CAE"/>
    <w:rsid w:val="00FA41DE"/>
    <w:rsid w:val="00FC32E2"/>
    <w:rsid w:val="00FC7C2B"/>
    <w:rsid w:val="00FD1177"/>
    <w:rsid w:val="00FE4764"/>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DAB6A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UnresolvedMention">
    <w:name w:val="Unresolved Mention"/>
    <w:basedOn w:val="DefaultParagraphFont"/>
    <w:uiPriority w:val="99"/>
    <w:semiHidden/>
    <w:unhideWhenUsed/>
    <w:rsid w:val="00200E77"/>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UnresolvedMention">
    <w:name w:val="Unresolved Mention"/>
    <w:basedOn w:val="DefaultParagraphFont"/>
    <w:uiPriority w:val="99"/>
    <w:semiHidden/>
    <w:unhideWhenUsed/>
    <w:rsid w:val="00200E7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934021527">
      <w:bodyDiv w:val="1"/>
      <w:marLeft w:val="0"/>
      <w:marRight w:val="0"/>
      <w:marTop w:val="0"/>
      <w:marBottom w:val="0"/>
      <w:divBdr>
        <w:top w:val="none" w:sz="0" w:space="0" w:color="auto"/>
        <w:left w:val="none" w:sz="0" w:space="0" w:color="auto"/>
        <w:bottom w:val="none" w:sz="0" w:space="0" w:color="auto"/>
        <w:right w:val="none" w:sz="0" w:space="0" w:color="auto"/>
      </w:divBdr>
    </w:div>
    <w:div w:id="1132868185">
      <w:bodyDiv w:val="1"/>
      <w:marLeft w:val="0"/>
      <w:marRight w:val="0"/>
      <w:marTop w:val="0"/>
      <w:marBottom w:val="0"/>
      <w:divBdr>
        <w:top w:val="none" w:sz="0" w:space="0" w:color="auto"/>
        <w:left w:val="none" w:sz="0" w:space="0" w:color="auto"/>
        <w:bottom w:val="none" w:sz="0" w:space="0" w:color="auto"/>
        <w:right w:val="none" w:sz="0" w:space="0" w:color="auto"/>
      </w:divBdr>
    </w:div>
    <w:div w:id="1456212264">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93285504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30.jpg"/><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mailto:r10629007@ntu.edu."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jpg"/><Relationship Id="rId5" Type="http://schemas.openxmlformats.org/officeDocument/2006/relationships/webSettings" Target="webSettings.xml"/><Relationship Id="rId15" Type="http://schemas.openxmlformats.org/officeDocument/2006/relationships/image" Target="media/image5.jpeg"/><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4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638</Words>
  <Characters>3637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4267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World Heart Congress 2021</cp:lastModifiedBy>
  <cp:revision>2</cp:revision>
  <dcterms:created xsi:type="dcterms:W3CDTF">2023-04-27T07:00:00Z</dcterms:created>
  <dcterms:modified xsi:type="dcterms:W3CDTF">2023-04-27T07:00:00Z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