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103A8B" w:rsidP="00103A8B">
      <w:pPr>
        <w:pStyle w:val="Heading1"/>
        <w:spacing w:before="170"/>
        <w:ind w:left="0"/>
        <w:jc w:val="both"/>
      </w:pPr>
      <w:r w:rsidRPr="00103A8B">
        <w:rPr>
          <w:color w:val="337AB7"/>
        </w:rPr>
        <w:t>The effectiveness of Acceptance and Commitment Group Therapy on Body Image, Sexual Schema, and Marital Intimacy in Women with Breast and Uterus Cancers</w:t>
      </w:r>
    </w:p>
    <w:p w:rsidR="00B10872" w:rsidRDefault="00B10872" w:rsidP="00B10872">
      <w:pPr>
        <w:pStyle w:val="BodyText"/>
        <w:spacing w:before="73" w:line="198" w:lineRule="exact"/>
        <w:ind w:left="100" w:right="5987"/>
        <w:rPr>
          <w:rFonts w:ascii="Arial"/>
        </w:rPr>
      </w:pPr>
      <w:proofErr w:type="spellStart"/>
      <w:r>
        <w:rPr>
          <w:rFonts w:ascii="Arial"/>
        </w:rPr>
        <w:t>Hossein</w:t>
      </w:r>
      <w:proofErr w:type="spellEnd"/>
      <w:r>
        <w:rPr>
          <w:rFonts w:ascii="Arial"/>
        </w:rPr>
        <w:t xml:space="preserve"> </w:t>
      </w:r>
      <w:proofErr w:type="spellStart"/>
      <w:r>
        <w:rPr>
          <w:rFonts w:ascii="Arial"/>
        </w:rPr>
        <w:t>Shareh</w:t>
      </w:r>
      <w:proofErr w:type="spellEnd"/>
      <w:r w:rsidR="005973B9">
        <w:rPr>
          <w:rFonts w:ascii="Arial"/>
        </w:rPr>
        <w:t xml:space="preserve">, PhD, </w:t>
      </w:r>
      <w:r>
        <w:rPr>
          <w:rFonts w:ascii="Arial"/>
        </w:rPr>
        <w:t xml:space="preserve">Hakim </w:t>
      </w:r>
      <w:proofErr w:type="spellStart"/>
      <w:r>
        <w:rPr>
          <w:rFonts w:ascii="Arial"/>
        </w:rPr>
        <w:t>Sabzevari</w:t>
      </w:r>
      <w:proofErr w:type="spellEnd"/>
      <w:r>
        <w:rPr>
          <w:rFonts w:ascii="Arial"/>
        </w:rPr>
        <w:t xml:space="preserve"> University, Iran</w:t>
      </w:r>
    </w:p>
    <w:p w:rsidR="005973B9" w:rsidRDefault="00B10872" w:rsidP="00B10872">
      <w:pPr>
        <w:pStyle w:val="BodyText"/>
        <w:spacing w:before="73" w:line="198" w:lineRule="exact"/>
        <w:ind w:left="100" w:right="5987"/>
        <w:rPr>
          <w:rFonts w:ascii="Arial"/>
        </w:rPr>
      </w:pPr>
      <w:proofErr w:type="spellStart"/>
      <w:r>
        <w:rPr>
          <w:rFonts w:ascii="Arial"/>
        </w:rPr>
        <w:t>Farhad</w:t>
      </w:r>
      <w:proofErr w:type="spellEnd"/>
      <w:r>
        <w:rPr>
          <w:rFonts w:ascii="Arial"/>
        </w:rPr>
        <w:t xml:space="preserve"> </w:t>
      </w:r>
      <w:proofErr w:type="spellStart"/>
      <w:r>
        <w:rPr>
          <w:rFonts w:ascii="Arial"/>
        </w:rPr>
        <w:t>Seifi</w:t>
      </w:r>
      <w:proofErr w:type="spellEnd"/>
      <w:r w:rsidR="005973B9">
        <w:rPr>
          <w:rFonts w:ascii="Arial"/>
        </w:rPr>
        <w:t xml:space="preserve">, </w:t>
      </w:r>
      <w:r>
        <w:rPr>
          <w:rFonts w:ascii="Arial"/>
        </w:rPr>
        <w:t>MSc</w:t>
      </w:r>
      <w:r w:rsidR="005973B9">
        <w:rPr>
          <w:rFonts w:ascii="Arial"/>
        </w:rPr>
        <w:t xml:space="preserve">, </w:t>
      </w:r>
      <w:proofErr w:type="spellStart"/>
      <w:r>
        <w:rPr>
          <w:rFonts w:ascii="Arial"/>
        </w:rPr>
        <w:t>Shahid</w:t>
      </w:r>
      <w:proofErr w:type="spellEnd"/>
      <w:r>
        <w:rPr>
          <w:rFonts w:ascii="Arial"/>
        </w:rPr>
        <w:t xml:space="preserve"> </w:t>
      </w:r>
      <w:proofErr w:type="spellStart"/>
      <w:r>
        <w:rPr>
          <w:rFonts w:ascii="Arial"/>
        </w:rPr>
        <w:t>Bahonar</w:t>
      </w:r>
      <w:proofErr w:type="spellEnd"/>
      <w:r>
        <w:rPr>
          <w:rFonts w:ascii="Arial"/>
        </w:rPr>
        <w:t xml:space="preserve"> University, Iran</w:t>
      </w:r>
    </w:p>
    <w:p w:rsidR="004800DE" w:rsidRDefault="004800DE" w:rsidP="004800DE">
      <w:pPr>
        <w:pStyle w:val="BodyText"/>
        <w:spacing w:before="73" w:line="198" w:lineRule="exact"/>
        <w:ind w:left="100" w:right="5987"/>
        <w:rPr>
          <w:rFonts w:ascii="Arial"/>
        </w:rPr>
      </w:pPr>
      <w:proofErr w:type="spellStart"/>
      <w:r w:rsidRPr="004800DE">
        <w:rPr>
          <w:rFonts w:ascii="Arial"/>
        </w:rPr>
        <w:t>Fatemeh</w:t>
      </w:r>
      <w:proofErr w:type="spellEnd"/>
      <w:r w:rsidRPr="004800DE">
        <w:rPr>
          <w:rFonts w:ascii="Arial"/>
        </w:rPr>
        <w:t xml:space="preserve"> </w:t>
      </w:r>
      <w:proofErr w:type="spellStart"/>
      <w:r w:rsidRPr="004800DE">
        <w:rPr>
          <w:rFonts w:ascii="Arial"/>
        </w:rPr>
        <w:t>Bazri</w:t>
      </w:r>
      <w:proofErr w:type="spellEnd"/>
      <w:r>
        <w:rPr>
          <w:rFonts w:ascii="Arial"/>
        </w:rPr>
        <w:t xml:space="preserve">, MSc, </w:t>
      </w:r>
      <w:r w:rsidRPr="004800DE">
        <w:rPr>
          <w:rFonts w:ascii="Arial"/>
        </w:rPr>
        <w:t xml:space="preserve">Islamic Azad University </w:t>
      </w:r>
      <w:proofErr w:type="spellStart"/>
      <w:r w:rsidRPr="004800DE">
        <w:rPr>
          <w:rFonts w:ascii="Arial"/>
        </w:rPr>
        <w:t>Torbatjam</w:t>
      </w:r>
      <w:proofErr w:type="spellEnd"/>
      <w:r w:rsidRPr="004800DE">
        <w:rPr>
          <w:rFonts w:ascii="Arial"/>
        </w:rPr>
        <w:t xml:space="preserve"> branch</w:t>
      </w:r>
      <w:r>
        <w:rPr>
          <w:rFonts w:ascii="Arial"/>
        </w:rPr>
        <w:t>, Iran</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rsidP="003F289C">
      <w:pPr>
        <w:pStyle w:val="BodyText"/>
        <w:spacing w:before="90" w:line="280" w:lineRule="auto"/>
        <w:ind w:left="100"/>
        <w:jc w:val="both"/>
      </w:pPr>
      <w:r>
        <w:t xml:space="preserve">Statement of the Problem: </w:t>
      </w:r>
      <w:r w:rsidR="003F289C" w:rsidRPr="003F289C">
        <w:t>Regarding the high prevalence of female cancers and the role of body image and marital satisfaction in the quality of life and surveillance, the present study aimed to assess the effectiveness of acceptance and commitment-based group therapy (ACGT) on body image, sexual schema, and marital intimacy in women with breast and uterus cancers.</w:t>
      </w:r>
      <w:r>
        <w:t xml:space="preserve"> Methodolog</w:t>
      </w:r>
      <w:r w:rsidR="008756E6">
        <w:t xml:space="preserve">y &amp; Theoretical Orientation: </w:t>
      </w:r>
      <w:r w:rsidR="003F289C" w:rsidRPr="003F289C">
        <w:t>The statistical population of this clinical trial included all women with breast cancer or cervical cancer who were resident in Mashhad city (the second populous city in Iran). Seventy patients were selected and divided into two experimental and control groups randomly. The experimental group received eight weekly sessions of ACGT, while the controls were placed on the waitlist. Research instrument included Body Image Concern Inventory, Sexual Self-Schema Scale for Women, Marital Intimacy Questionnaire. Data analyzed through SPSS software version 26, and MANCOVA test</w:t>
      </w:r>
      <w:r w:rsidR="003F289C">
        <w:t>.</w:t>
      </w:r>
      <w:r w:rsidR="003F289C" w:rsidRPr="003F289C">
        <w:t xml:space="preserve"> </w:t>
      </w:r>
      <w:r>
        <w:t xml:space="preserve">Findings: </w:t>
      </w:r>
      <w:r w:rsidR="003F289C" w:rsidRPr="003F289C">
        <w:t>The findings indicated that the CBGT showed reduced worry about body image, while the scores of sexual self-schema, and marital intimacy increased compared to the controls (P&lt;0.001).</w:t>
      </w:r>
      <w:r>
        <w:t xml:space="preserve"> Conclusion &amp; Significance: </w:t>
      </w:r>
      <w:r w:rsidR="003F289C" w:rsidRPr="003F289C">
        <w:t>It seems that group therapy based on acceptance and commitment is an effective method to improve body image, sexual self-schema, and marital intimacy in women with cancer.</w:t>
      </w:r>
    </w:p>
    <w:p w:rsidR="00AE3E37" w:rsidRDefault="00A9710C" w:rsidP="009D140F">
      <w:pPr>
        <w:pStyle w:val="Heading3"/>
        <w:spacing w:before="74"/>
      </w:pPr>
      <w:r>
        <w:rPr>
          <w:b w:val="0"/>
        </w:rPr>
        <w:br w:type="column"/>
      </w:r>
      <w:r w:rsidR="009D140F">
        <w:rPr>
          <w:color w:val="BF5A14"/>
        </w:rPr>
        <w:lastRenderedPageBreak/>
        <w:t>Table</w:t>
      </w:r>
    </w:p>
    <w:p w:rsidR="003F289C" w:rsidRPr="003F289C" w:rsidRDefault="003F289C" w:rsidP="003F289C">
      <w:pPr>
        <w:spacing w:line="204" w:lineRule="exact"/>
        <w:rPr>
          <w:rFonts w:ascii="Arial"/>
          <w:b/>
          <w:sz w:val="16"/>
          <w:szCs w:val="18"/>
        </w:rPr>
      </w:pPr>
      <w:proofErr w:type="gramStart"/>
      <w:r w:rsidRPr="003F289C">
        <w:rPr>
          <w:rFonts w:ascii="Arial"/>
          <w:b/>
          <w:sz w:val="16"/>
          <w:szCs w:val="18"/>
        </w:rPr>
        <w:t xml:space="preserve">Table </w:t>
      </w:r>
      <w:r>
        <w:rPr>
          <w:rFonts w:ascii="Arial"/>
          <w:b/>
          <w:sz w:val="16"/>
          <w:szCs w:val="18"/>
        </w:rPr>
        <w:t>1</w:t>
      </w:r>
      <w:r w:rsidRPr="003F289C">
        <w:rPr>
          <w:rFonts w:ascii="Arial"/>
          <w:b/>
          <w:sz w:val="16"/>
          <w:szCs w:val="18"/>
        </w:rPr>
        <w:t>.</w:t>
      </w:r>
      <w:proofErr w:type="gramEnd"/>
      <w:r w:rsidRPr="003F289C">
        <w:rPr>
          <w:rFonts w:ascii="Arial"/>
          <w:b/>
          <w:sz w:val="16"/>
          <w:szCs w:val="18"/>
        </w:rPr>
        <w:t xml:space="preserve"> The results of </w:t>
      </w:r>
      <w:proofErr w:type="spellStart"/>
      <w:r w:rsidRPr="003F289C">
        <w:rPr>
          <w:rFonts w:ascii="Arial"/>
          <w:b/>
          <w:sz w:val="16"/>
          <w:szCs w:val="18"/>
        </w:rPr>
        <w:t>univariate</w:t>
      </w:r>
      <w:proofErr w:type="spellEnd"/>
      <w:r w:rsidRPr="003F289C">
        <w:rPr>
          <w:rFonts w:ascii="Arial"/>
          <w:b/>
          <w:sz w:val="16"/>
          <w:szCs w:val="18"/>
        </w:rPr>
        <w:t xml:space="preserve"> analysis of covariance for group therapy based on acceptance and commitment </w:t>
      </w:r>
    </w:p>
    <w:tbl>
      <w:tblPr>
        <w:tblW w:w="45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
        <w:gridCol w:w="795"/>
        <w:gridCol w:w="385"/>
        <w:gridCol w:w="795"/>
        <w:gridCol w:w="706"/>
        <w:gridCol w:w="617"/>
        <w:gridCol w:w="661"/>
      </w:tblGrid>
      <w:tr w:rsidR="003F289C" w:rsidRPr="003F289C" w:rsidTr="0042618D">
        <w:trPr>
          <w:trHeight w:val="274"/>
          <w:jc w:val="center"/>
        </w:trPr>
        <w:tc>
          <w:tcPr>
            <w:tcW w:w="1273" w:type="pct"/>
            <w:tcBorders>
              <w:top w:val="single" w:sz="4" w:space="0" w:color="auto"/>
              <w:left w:val="single" w:sz="4" w:space="0" w:color="auto"/>
              <w:bottom w:val="single" w:sz="4" w:space="0" w:color="auto"/>
              <w:right w:val="single" w:sz="4" w:space="0" w:color="auto"/>
            </w:tcBorders>
            <w:vAlign w:val="center"/>
            <w:hideMark/>
          </w:tcPr>
          <w:p w:rsidR="003F289C" w:rsidRPr="003F289C" w:rsidRDefault="003F289C" w:rsidP="003F289C">
            <w:pPr>
              <w:spacing w:line="204" w:lineRule="exact"/>
              <w:rPr>
                <w:rFonts w:ascii="Arial"/>
                <w:b/>
                <w:bCs/>
                <w:iCs/>
                <w:sz w:val="16"/>
                <w:szCs w:val="18"/>
                <w:rtl/>
              </w:rPr>
            </w:pPr>
            <w:r w:rsidRPr="003F289C">
              <w:rPr>
                <w:rFonts w:ascii="Arial"/>
                <w:b/>
                <w:bCs/>
                <w:iCs/>
                <w:sz w:val="16"/>
                <w:szCs w:val="18"/>
              </w:rPr>
              <w:t>Variables</w:t>
            </w:r>
          </w:p>
        </w:tc>
        <w:tc>
          <w:tcPr>
            <w:tcW w:w="588" w:type="pct"/>
            <w:tcBorders>
              <w:top w:val="single" w:sz="4" w:space="0" w:color="auto"/>
              <w:left w:val="single" w:sz="4" w:space="0" w:color="auto"/>
              <w:bottom w:val="single" w:sz="4" w:space="0" w:color="auto"/>
              <w:right w:val="single" w:sz="4" w:space="0" w:color="auto"/>
            </w:tcBorders>
            <w:vAlign w:val="center"/>
            <w:hideMark/>
          </w:tcPr>
          <w:p w:rsidR="003F289C" w:rsidRPr="003F289C" w:rsidRDefault="003F289C" w:rsidP="003F289C">
            <w:pPr>
              <w:spacing w:line="204" w:lineRule="exact"/>
              <w:rPr>
                <w:rFonts w:ascii="Arial"/>
                <w:b/>
                <w:bCs/>
                <w:iCs/>
                <w:sz w:val="16"/>
                <w:szCs w:val="18"/>
                <w:rtl/>
              </w:rPr>
            </w:pPr>
            <w:r w:rsidRPr="003F289C">
              <w:rPr>
                <w:rFonts w:ascii="Arial"/>
                <w:b/>
                <w:bCs/>
                <w:iCs/>
                <w:sz w:val="16"/>
                <w:szCs w:val="18"/>
              </w:rPr>
              <w:t>SS</w:t>
            </w:r>
          </w:p>
        </w:tc>
        <w:tc>
          <w:tcPr>
            <w:tcW w:w="376" w:type="pct"/>
            <w:tcBorders>
              <w:top w:val="single" w:sz="4" w:space="0" w:color="auto"/>
              <w:left w:val="single" w:sz="4" w:space="0" w:color="auto"/>
              <w:bottom w:val="single" w:sz="4" w:space="0" w:color="auto"/>
              <w:right w:val="single" w:sz="4" w:space="0" w:color="auto"/>
            </w:tcBorders>
            <w:vAlign w:val="center"/>
            <w:hideMark/>
          </w:tcPr>
          <w:p w:rsidR="003F289C" w:rsidRPr="003F289C" w:rsidRDefault="003F289C" w:rsidP="003F289C">
            <w:pPr>
              <w:spacing w:line="204" w:lineRule="exact"/>
              <w:rPr>
                <w:rFonts w:ascii="Arial"/>
                <w:b/>
                <w:bCs/>
                <w:iCs/>
                <w:sz w:val="16"/>
                <w:szCs w:val="18"/>
              </w:rPr>
            </w:pPr>
            <w:proofErr w:type="spellStart"/>
            <w:r w:rsidRPr="003F289C">
              <w:rPr>
                <w:rFonts w:ascii="Arial"/>
                <w:b/>
                <w:bCs/>
                <w:iCs/>
                <w:sz w:val="16"/>
                <w:szCs w:val="18"/>
              </w:rPr>
              <w:t>Df</w:t>
            </w:r>
            <w:proofErr w:type="spellEnd"/>
          </w:p>
        </w:tc>
        <w:tc>
          <w:tcPr>
            <w:tcW w:w="640" w:type="pct"/>
            <w:tcBorders>
              <w:top w:val="single" w:sz="4" w:space="0" w:color="auto"/>
              <w:left w:val="single" w:sz="4" w:space="0" w:color="auto"/>
              <w:bottom w:val="single" w:sz="4" w:space="0" w:color="auto"/>
              <w:right w:val="single" w:sz="4" w:space="0" w:color="auto"/>
            </w:tcBorders>
            <w:vAlign w:val="center"/>
            <w:hideMark/>
          </w:tcPr>
          <w:p w:rsidR="003F289C" w:rsidRPr="003F289C" w:rsidRDefault="003F289C" w:rsidP="003F289C">
            <w:pPr>
              <w:spacing w:line="204" w:lineRule="exact"/>
              <w:rPr>
                <w:rFonts w:ascii="Arial"/>
                <w:b/>
                <w:bCs/>
                <w:iCs/>
                <w:sz w:val="16"/>
                <w:szCs w:val="18"/>
              </w:rPr>
            </w:pPr>
            <w:r w:rsidRPr="003F289C">
              <w:rPr>
                <w:rFonts w:ascii="Arial"/>
                <w:b/>
                <w:bCs/>
                <w:iCs/>
                <w:sz w:val="16"/>
                <w:szCs w:val="18"/>
              </w:rPr>
              <w:t>MS</w:t>
            </w:r>
          </w:p>
        </w:tc>
        <w:tc>
          <w:tcPr>
            <w:tcW w:w="679" w:type="pct"/>
            <w:tcBorders>
              <w:top w:val="single" w:sz="4" w:space="0" w:color="auto"/>
              <w:left w:val="single" w:sz="4" w:space="0" w:color="auto"/>
              <w:bottom w:val="single" w:sz="4" w:space="0" w:color="auto"/>
              <w:right w:val="single" w:sz="4" w:space="0" w:color="auto"/>
            </w:tcBorders>
            <w:vAlign w:val="center"/>
            <w:hideMark/>
          </w:tcPr>
          <w:p w:rsidR="003F289C" w:rsidRPr="003F289C" w:rsidRDefault="003F289C" w:rsidP="003F289C">
            <w:pPr>
              <w:spacing w:line="204" w:lineRule="exact"/>
              <w:rPr>
                <w:rFonts w:ascii="Arial"/>
                <w:b/>
                <w:bCs/>
                <w:iCs/>
                <w:sz w:val="16"/>
                <w:szCs w:val="18"/>
              </w:rPr>
            </w:pPr>
            <w:r w:rsidRPr="003F289C">
              <w:rPr>
                <w:rFonts w:ascii="Arial"/>
                <w:b/>
                <w:bCs/>
                <w:iCs/>
                <w:sz w:val="16"/>
                <w:szCs w:val="18"/>
              </w:rPr>
              <w:t>F</w:t>
            </w:r>
          </w:p>
        </w:tc>
        <w:tc>
          <w:tcPr>
            <w:tcW w:w="595" w:type="pct"/>
            <w:tcBorders>
              <w:top w:val="single" w:sz="4" w:space="0" w:color="auto"/>
              <w:left w:val="single" w:sz="4" w:space="0" w:color="auto"/>
              <w:bottom w:val="single" w:sz="4" w:space="0" w:color="auto"/>
              <w:right w:val="single" w:sz="4" w:space="0" w:color="auto"/>
            </w:tcBorders>
            <w:vAlign w:val="center"/>
            <w:hideMark/>
          </w:tcPr>
          <w:p w:rsidR="003F289C" w:rsidRPr="003F289C" w:rsidRDefault="003F289C" w:rsidP="003F289C">
            <w:pPr>
              <w:spacing w:line="204" w:lineRule="exact"/>
              <w:rPr>
                <w:rFonts w:ascii="Arial"/>
                <w:b/>
                <w:bCs/>
                <w:iCs/>
                <w:sz w:val="16"/>
                <w:szCs w:val="18"/>
              </w:rPr>
            </w:pPr>
            <w:r w:rsidRPr="003F289C">
              <w:rPr>
                <w:rFonts w:ascii="Arial"/>
                <w:b/>
                <w:bCs/>
                <w:iCs/>
                <w:sz w:val="16"/>
                <w:szCs w:val="18"/>
              </w:rPr>
              <w:t>P</w:t>
            </w:r>
          </w:p>
        </w:tc>
        <w:tc>
          <w:tcPr>
            <w:tcW w:w="849" w:type="pct"/>
            <w:tcBorders>
              <w:top w:val="single" w:sz="4" w:space="0" w:color="auto"/>
              <w:left w:val="single" w:sz="4" w:space="0" w:color="auto"/>
              <w:bottom w:val="single" w:sz="4" w:space="0" w:color="auto"/>
              <w:right w:val="single" w:sz="4" w:space="0" w:color="auto"/>
            </w:tcBorders>
            <w:vAlign w:val="center"/>
            <w:hideMark/>
          </w:tcPr>
          <w:p w:rsidR="003F289C" w:rsidRPr="003F289C" w:rsidRDefault="003F289C" w:rsidP="003F289C">
            <w:pPr>
              <w:spacing w:line="204" w:lineRule="exact"/>
              <w:rPr>
                <w:rFonts w:ascii="Arial"/>
                <w:b/>
                <w:bCs/>
                <w:iCs/>
                <w:sz w:val="16"/>
                <w:szCs w:val="18"/>
                <w:rtl/>
              </w:rPr>
            </w:pPr>
            <w:r w:rsidRPr="003F289C">
              <w:rPr>
                <w:rFonts w:ascii="Arial"/>
                <w:b/>
                <w:bCs/>
                <w:iCs/>
                <w:sz w:val="16"/>
                <w:szCs w:val="18"/>
              </w:rPr>
              <w:t>Effect size</w:t>
            </w:r>
          </w:p>
        </w:tc>
      </w:tr>
      <w:tr w:rsidR="003F289C" w:rsidRPr="003F289C" w:rsidTr="0042618D">
        <w:trPr>
          <w:trHeight w:val="279"/>
          <w:jc w:val="center"/>
        </w:trPr>
        <w:tc>
          <w:tcPr>
            <w:tcW w:w="1273" w:type="pct"/>
            <w:tcBorders>
              <w:top w:val="single" w:sz="4" w:space="0" w:color="auto"/>
              <w:left w:val="single" w:sz="4" w:space="0" w:color="auto"/>
              <w:bottom w:val="single" w:sz="4" w:space="0" w:color="auto"/>
              <w:right w:val="single" w:sz="4" w:space="0" w:color="auto"/>
            </w:tcBorders>
            <w:vAlign w:val="center"/>
            <w:hideMark/>
          </w:tcPr>
          <w:p w:rsidR="003F289C" w:rsidRPr="003F289C" w:rsidRDefault="003F289C" w:rsidP="003F289C">
            <w:pPr>
              <w:spacing w:line="204" w:lineRule="exact"/>
              <w:rPr>
                <w:rFonts w:ascii="Arial"/>
                <w:b/>
                <w:sz w:val="16"/>
                <w:szCs w:val="18"/>
                <w:rtl/>
              </w:rPr>
            </w:pPr>
            <w:r w:rsidRPr="003F289C">
              <w:rPr>
                <w:rFonts w:ascii="Arial"/>
                <w:b/>
                <w:sz w:val="16"/>
                <w:szCs w:val="18"/>
              </w:rPr>
              <w:t>Body image</w:t>
            </w:r>
          </w:p>
        </w:tc>
        <w:tc>
          <w:tcPr>
            <w:tcW w:w="588" w:type="pct"/>
            <w:tcBorders>
              <w:top w:val="single" w:sz="4" w:space="0" w:color="auto"/>
              <w:left w:val="single" w:sz="4" w:space="0" w:color="auto"/>
              <w:bottom w:val="single" w:sz="4" w:space="0" w:color="auto"/>
              <w:right w:val="single" w:sz="4" w:space="0" w:color="auto"/>
            </w:tcBorders>
            <w:vAlign w:val="center"/>
            <w:hideMark/>
          </w:tcPr>
          <w:p w:rsidR="003F289C" w:rsidRPr="003F289C" w:rsidRDefault="003F289C" w:rsidP="003F289C">
            <w:pPr>
              <w:spacing w:line="204" w:lineRule="exact"/>
              <w:rPr>
                <w:rFonts w:ascii="Arial"/>
                <w:b/>
                <w:sz w:val="16"/>
                <w:szCs w:val="18"/>
              </w:rPr>
            </w:pPr>
            <w:r w:rsidRPr="003F289C">
              <w:rPr>
                <w:rFonts w:ascii="Arial"/>
                <w:b/>
                <w:sz w:val="16"/>
                <w:szCs w:val="18"/>
              </w:rPr>
              <w:t>232.9</w:t>
            </w:r>
          </w:p>
        </w:tc>
        <w:tc>
          <w:tcPr>
            <w:tcW w:w="376" w:type="pct"/>
            <w:tcBorders>
              <w:top w:val="single" w:sz="4" w:space="0" w:color="auto"/>
              <w:left w:val="single" w:sz="4" w:space="0" w:color="auto"/>
              <w:bottom w:val="single" w:sz="4" w:space="0" w:color="auto"/>
              <w:right w:val="single" w:sz="4" w:space="0" w:color="auto"/>
            </w:tcBorders>
            <w:vAlign w:val="center"/>
            <w:hideMark/>
          </w:tcPr>
          <w:p w:rsidR="003F289C" w:rsidRPr="003F289C" w:rsidRDefault="003F289C" w:rsidP="003F289C">
            <w:pPr>
              <w:spacing w:line="204" w:lineRule="exact"/>
              <w:rPr>
                <w:rFonts w:ascii="Arial"/>
                <w:b/>
                <w:sz w:val="16"/>
                <w:szCs w:val="18"/>
              </w:rPr>
            </w:pPr>
            <w:r w:rsidRPr="003F289C">
              <w:rPr>
                <w:rFonts w:ascii="Arial"/>
                <w:b/>
                <w:sz w:val="16"/>
                <w:szCs w:val="18"/>
              </w:rPr>
              <w:t>1</w:t>
            </w:r>
          </w:p>
        </w:tc>
        <w:tc>
          <w:tcPr>
            <w:tcW w:w="640" w:type="pct"/>
            <w:tcBorders>
              <w:top w:val="single" w:sz="4" w:space="0" w:color="auto"/>
              <w:left w:val="single" w:sz="4" w:space="0" w:color="auto"/>
              <w:bottom w:val="single" w:sz="4" w:space="0" w:color="auto"/>
              <w:right w:val="single" w:sz="4" w:space="0" w:color="auto"/>
            </w:tcBorders>
            <w:vAlign w:val="center"/>
            <w:hideMark/>
          </w:tcPr>
          <w:p w:rsidR="003F289C" w:rsidRPr="003F289C" w:rsidRDefault="003F289C" w:rsidP="003F289C">
            <w:pPr>
              <w:spacing w:line="204" w:lineRule="exact"/>
              <w:rPr>
                <w:rFonts w:ascii="Arial"/>
                <w:b/>
                <w:sz w:val="16"/>
                <w:szCs w:val="18"/>
                <w:rtl/>
              </w:rPr>
            </w:pPr>
            <w:r w:rsidRPr="003F289C">
              <w:rPr>
                <w:rFonts w:ascii="Arial"/>
                <w:b/>
                <w:sz w:val="16"/>
                <w:szCs w:val="18"/>
              </w:rPr>
              <w:t>232.9</w:t>
            </w:r>
          </w:p>
        </w:tc>
        <w:tc>
          <w:tcPr>
            <w:tcW w:w="679" w:type="pct"/>
            <w:tcBorders>
              <w:top w:val="single" w:sz="4" w:space="0" w:color="auto"/>
              <w:left w:val="single" w:sz="4" w:space="0" w:color="auto"/>
              <w:bottom w:val="single" w:sz="4" w:space="0" w:color="auto"/>
              <w:right w:val="single" w:sz="4" w:space="0" w:color="auto"/>
            </w:tcBorders>
            <w:vAlign w:val="center"/>
            <w:hideMark/>
          </w:tcPr>
          <w:p w:rsidR="003F289C" w:rsidRPr="003F289C" w:rsidRDefault="003F289C" w:rsidP="003F289C">
            <w:pPr>
              <w:spacing w:line="204" w:lineRule="exact"/>
              <w:rPr>
                <w:rFonts w:ascii="Arial"/>
                <w:b/>
                <w:sz w:val="16"/>
                <w:szCs w:val="18"/>
              </w:rPr>
            </w:pPr>
            <w:r w:rsidRPr="003F289C">
              <w:rPr>
                <w:rFonts w:ascii="Arial"/>
                <w:b/>
                <w:sz w:val="16"/>
                <w:szCs w:val="18"/>
              </w:rPr>
              <w:t>268 / 8</w:t>
            </w:r>
          </w:p>
        </w:tc>
        <w:tc>
          <w:tcPr>
            <w:tcW w:w="595" w:type="pct"/>
            <w:tcBorders>
              <w:top w:val="single" w:sz="4" w:space="0" w:color="auto"/>
              <w:left w:val="single" w:sz="4" w:space="0" w:color="auto"/>
              <w:bottom w:val="single" w:sz="4" w:space="0" w:color="auto"/>
              <w:right w:val="single" w:sz="4" w:space="0" w:color="auto"/>
            </w:tcBorders>
            <w:vAlign w:val="center"/>
            <w:hideMark/>
          </w:tcPr>
          <w:p w:rsidR="003F289C" w:rsidRPr="003F289C" w:rsidRDefault="003F289C" w:rsidP="003F289C">
            <w:pPr>
              <w:spacing w:line="204" w:lineRule="exact"/>
              <w:rPr>
                <w:rFonts w:ascii="Arial"/>
                <w:b/>
                <w:sz w:val="16"/>
                <w:szCs w:val="18"/>
              </w:rPr>
            </w:pPr>
            <w:r w:rsidRPr="003F289C">
              <w:rPr>
                <w:rFonts w:ascii="Arial"/>
                <w:b/>
                <w:sz w:val="16"/>
                <w:szCs w:val="18"/>
              </w:rPr>
              <w:t>0.001</w:t>
            </w:r>
          </w:p>
        </w:tc>
        <w:tc>
          <w:tcPr>
            <w:tcW w:w="849" w:type="pct"/>
            <w:tcBorders>
              <w:top w:val="single" w:sz="4" w:space="0" w:color="auto"/>
              <w:left w:val="single" w:sz="4" w:space="0" w:color="auto"/>
              <w:bottom w:val="single" w:sz="4" w:space="0" w:color="auto"/>
              <w:right w:val="single" w:sz="4" w:space="0" w:color="auto"/>
            </w:tcBorders>
            <w:vAlign w:val="center"/>
            <w:hideMark/>
          </w:tcPr>
          <w:p w:rsidR="003F289C" w:rsidRPr="003F289C" w:rsidRDefault="003F289C" w:rsidP="003F289C">
            <w:pPr>
              <w:spacing w:line="204" w:lineRule="exact"/>
              <w:rPr>
                <w:rFonts w:ascii="Arial"/>
                <w:b/>
                <w:sz w:val="16"/>
                <w:szCs w:val="18"/>
                <w:rtl/>
              </w:rPr>
            </w:pPr>
            <w:r w:rsidRPr="003F289C">
              <w:rPr>
                <w:rFonts w:ascii="Arial"/>
                <w:b/>
                <w:sz w:val="16"/>
                <w:szCs w:val="18"/>
              </w:rPr>
              <w:t>0.8</w:t>
            </w:r>
          </w:p>
        </w:tc>
      </w:tr>
      <w:tr w:rsidR="003F289C" w:rsidRPr="003F289C" w:rsidTr="0042618D">
        <w:trPr>
          <w:trHeight w:val="438"/>
          <w:jc w:val="center"/>
        </w:trPr>
        <w:tc>
          <w:tcPr>
            <w:tcW w:w="1273" w:type="pct"/>
            <w:tcBorders>
              <w:top w:val="single" w:sz="4" w:space="0" w:color="auto"/>
              <w:left w:val="single" w:sz="4" w:space="0" w:color="auto"/>
              <w:bottom w:val="single" w:sz="4" w:space="0" w:color="auto"/>
              <w:right w:val="single" w:sz="4" w:space="0" w:color="auto"/>
            </w:tcBorders>
            <w:vAlign w:val="center"/>
            <w:hideMark/>
          </w:tcPr>
          <w:p w:rsidR="003F289C" w:rsidRPr="003F289C" w:rsidRDefault="003F289C" w:rsidP="003F289C">
            <w:pPr>
              <w:spacing w:line="204" w:lineRule="exact"/>
              <w:rPr>
                <w:rFonts w:ascii="Arial"/>
                <w:b/>
                <w:sz w:val="16"/>
                <w:szCs w:val="18"/>
              </w:rPr>
            </w:pPr>
            <w:r w:rsidRPr="003F289C">
              <w:rPr>
                <w:rFonts w:ascii="Arial"/>
                <w:b/>
                <w:sz w:val="16"/>
                <w:szCs w:val="18"/>
              </w:rPr>
              <w:t>Sexual schema</w:t>
            </w:r>
          </w:p>
        </w:tc>
        <w:tc>
          <w:tcPr>
            <w:tcW w:w="588" w:type="pct"/>
            <w:tcBorders>
              <w:top w:val="single" w:sz="4" w:space="0" w:color="auto"/>
              <w:left w:val="single" w:sz="4" w:space="0" w:color="auto"/>
              <w:bottom w:val="single" w:sz="4" w:space="0" w:color="auto"/>
              <w:right w:val="single" w:sz="4" w:space="0" w:color="auto"/>
            </w:tcBorders>
            <w:vAlign w:val="center"/>
            <w:hideMark/>
          </w:tcPr>
          <w:p w:rsidR="003F289C" w:rsidRPr="003F289C" w:rsidRDefault="003F289C" w:rsidP="003F289C">
            <w:pPr>
              <w:spacing w:line="204" w:lineRule="exact"/>
              <w:rPr>
                <w:rFonts w:ascii="Arial"/>
                <w:b/>
                <w:sz w:val="16"/>
                <w:szCs w:val="18"/>
                <w:rtl/>
              </w:rPr>
            </w:pPr>
            <w:r w:rsidRPr="003F289C">
              <w:rPr>
                <w:rFonts w:ascii="Arial"/>
                <w:b/>
                <w:sz w:val="16"/>
                <w:szCs w:val="18"/>
              </w:rPr>
              <w:t>1324.28</w:t>
            </w:r>
          </w:p>
        </w:tc>
        <w:tc>
          <w:tcPr>
            <w:tcW w:w="376" w:type="pct"/>
            <w:tcBorders>
              <w:top w:val="single" w:sz="4" w:space="0" w:color="auto"/>
              <w:left w:val="single" w:sz="4" w:space="0" w:color="auto"/>
              <w:bottom w:val="single" w:sz="4" w:space="0" w:color="auto"/>
              <w:right w:val="single" w:sz="4" w:space="0" w:color="auto"/>
            </w:tcBorders>
            <w:vAlign w:val="center"/>
            <w:hideMark/>
          </w:tcPr>
          <w:p w:rsidR="003F289C" w:rsidRPr="003F289C" w:rsidRDefault="003F289C" w:rsidP="003F289C">
            <w:pPr>
              <w:spacing w:line="204" w:lineRule="exact"/>
              <w:rPr>
                <w:rFonts w:ascii="Arial"/>
                <w:b/>
                <w:sz w:val="16"/>
                <w:szCs w:val="18"/>
              </w:rPr>
            </w:pPr>
            <w:r w:rsidRPr="003F289C">
              <w:rPr>
                <w:rFonts w:ascii="Arial"/>
                <w:b/>
                <w:sz w:val="16"/>
                <w:szCs w:val="18"/>
              </w:rPr>
              <w:t>1</w:t>
            </w:r>
          </w:p>
        </w:tc>
        <w:tc>
          <w:tcPr>
            <w:tcW w:w="640" w:type="pct"/>
            <w:tcBorders>
              <w:top w:val="single" w:sz="4" w:space="0" w:color="auto"/>
              <w:left w:val="single" w:sz="4" w:space="0" w:color="auto"/>
              <w:bottom w:val="single" w:sz="4" w:space="0" w:color="auto"/>
              <w:right w:val="single" w:sz="4" w:space="0" w:color="auto"/>
            </w:tcBorders>
            <w:vAlign w:val="center"/>
            <w:hideMark/>
          </w:tcPr>
          <w:p w:rsidR="003F289C" w:rsidRPr="003F289C" w:rsidRDefault="003F289C" w:rsidP="003F289C">
            <w:pPr>
              <w:spacing w:line="204" w:lineRule="exact"/>
              <w:rPr>
                <w:rFonts w:ascii="Arial"/>
                <w:b/>
                <w:sz w:val="16"/>
                <w:szCs w:val="18"/>
              </w:rPr>
            </w:pPr>
            <w:r w:rsidRPr="003F289C">
              <w:rPr>
                <w:rFonts w:ascii="Arial"/>
                <w:b/>
                <w:sz w:val="16"/>
                <w:szCs w:val="18"/>
              </w:rPr>
              <w:t>1324.28</w:t>
            </w:r>
          </w:p>
        </w:tc>
        <w:tc>
          <w:tcPr>
            <w:tcW w:w="679" w:type="pct"/>
            <w:tcBorders>
              <w:top w:val="single" w:sz="4" w:space="0" w:color="auto"/>
              <w:left w:val="single" w:sz="4" w:space="0" w:color="auto"/>
              <w:bottom w:val="single" w:sz="4" w:space="0" w:color="auto"/>
              <w:right w:val="single" w:sz="4" w:space="0" w:color="auto"/>
            </w:tcBorders>
            <w:vAlign w:val="center"/>
            <w:hideMark/>
          </w:tcPr>
          <w:p w:rsidR="003F289C" w:rsidRPr="003F289C" w:rsidRDefault="003F289C" w:rsidP="003F289C">
            <w:pPr>
              <w:spacing w:line="204" w:lineRule="exact"/>
              <w:rPr>
                <w:rFonts w:ascii="Arial"/>
                <w:b/>
                <w:sz w:val="16"/>
                <w:szCs w:val="18"/>
                <w:rtl/>
              </w:rPr>
            </w:pPr>
            <w:r w:rsidRPr="003F289C">
              <w:rPr>
                <w:rFonts w:ascii="Arial"/>
                <w:b/>
                <w:sz w:val="16"/>
                <w:szCs w:val="18"/>
              </w:rPr>
              <w:t>172.6</w:t>
            </w:r>
          </w:p>
        </w:tc>
        <w:tc>
          <w:tcPr>
            <w:tcW w:w="595" w:type="pct"/>
            <w:tcBorders>
              <w:top w:val="single" w:sz="4" w:space="0" w:color="auto"/>
              <w:left w:val="single" w:sz="4" w:space="0" w:color="auto"/>
              <w:bottom w:val="single" w:sz="4" w:space="0" w:color="auto"/>
              <w:right w:val="single" w:sz="4" w:space="0" w:color="auto"/>
            </w:tcBorders>
            <w:vAlign w:val="center"/>
            <w:hideMark/>
          </w:tcPr>
          <w:p w:rsidR="003F289C" w:rsidRPr="003F289C" w:rsidRDefault="003F289C" w:rsidP="003F289C">
            <w:pPr>
              <w:spacing w:line="204" w:lineRule="exact"/>
              <w:rPr>
                <w:rFonts w:ascii="Arial"/>
                <w:b/>
                <w:sz w:val="16"/>
                <w:szCs w:val="18"/>
              </w:rPr>
            </w:pPr>
            <w:r w:rsidRPr="003F289C">
              <w:rPr>
                <w:rFonts w:ascii="Arial"/>
                <w:b/>
                <w:sz w:val="16"/>
                <w:szCs w:val="18"/>
              </w:rPr>
              <w:t>0.001</w:t>
            </w:r>
          </w:p>
        </w:tc>
        <w:tc>
          <w:tcPr>
            <w:tcW w:w="849" w:type="pct"/>
            <w:tcBorders>
              <w:top w:val="single" w:sz="4" w:space="0" w:color="auto"/>
              <w:left w:val="single" w:sz="4" w:space="0" w:color="auto"/>
              <w:bottom w:val="single" w:sz="4" w:space="0" w:color="auto"/>
              <w:right w:val="single" w:sz="4" w:space="0" w:color="auto"/>
            </w:tcBorders>
            <w:vAlign w:val="center"/>
            <w:hideMark/>
          </w:tcPr>
          <w:p w:rsidR="003F289C" w:rsidRPr="003F289C" w:rsidRDefault="003F289C" w:rsidP="003F289C">
            <w:pPr>
              <w:spacing w:line="204" w:lineRule="exact"/>
              <w:rPr>
                <w:rFonts w:ascii="Arial"/>
                <w:b/>
                <w:sz w:val="16"/>
                <w:szCs w:val="18"/>
              </w:rPr>
            </w:pPr>
            <w:r w:rsidRPr="003F289C">
              <w:rPr>
                <w:rFonts w:ascii="Arial"/>
                <w:b/>
                <w:sz w:val="16"/>
                <w:szCs w:val="18"/>
              </w:rPr>
              <w:t>0.72</w:t>
            </w:r>
          </w:p>
        </w:tc>
      </w:tr>
      <w:tr w:rsidR="003F289C" w:rsidRPr="003F289C" w:rsidTr="0042618D">
        <w:trPr>
          <w:trHeight w:val="457"/>
          <w:jc w:val="center"/>
        </w:trPr>
        <w:tc>
          <w:tcPr>
            <w:tcW w:w="1273" w:type="pct"/>
            <w:tcBorders>
              <w:top w:val="single" w:sz="4" w:space="0" w:color="auto"/>
              <w:left w:val="single" w:sz="4" w:space="0" w:color="auto"/>
              <w:bottom w:val="single" w:sz="4" w:space="0" w:color="auto"/>
              <w:right w:val="single" w:sz="4" w:space="0" w:color="auto"/>
            </w:tcBorders>
            <w:vAlign w:val="center"/>
            <w:hideMark/>
          </w:tcPr>
          <w:p w:rsidR="003F289C" w:rsidRPr="003F289C" w:rsidRDefault="003F289C" w:rsidP="003F289C">
            <w:pPr>
              <w:spacing w:line="204" w:lineRule="exact"/>
              <w:rPr>
                <w:rFonts w:ascii="Arial"/>
                <w:b/>
                <w:sz w:val="16"/>
                <w:szCs w:val="18"/>
              </w:rPr>
            </w:pPr>
            <w:r w:rsidRPr="003F289C">
              <w:rPr>
                <w:rFonts w:ascii="Arial"/>
                <w:b/>
                <w:sz w:val="16"/>
                <w:szCs w:val="18"/>
              </w:rPr>
              <w:t>Marital intimacy</w:t>
            </w:r>
          </w:p>
        </w:tc>
        <w:tc>
          <w:tcPr>
            <w:tcW w:w="588" w:type="pct"/>
            <w:tcBorders>
              <w:top w:val="single" w:sz="4" w:space="0" w:color="auto"/>
              <w:left w:val="single" w:sz="4" w:space="0" w:color="auto"/>
              <w:bottom w:val="single" w:sz="4" w:space="0" w:color="auto"/>
              <w:right w:val="single" w:sz="4" w:space="0" w:color="auto"/>
            </w:tcBorders>
            <w:vAlign w:val="center"/>
            <w:hideMark/>
          </w:tcPr>
          <w:p w:rsidR="003F289C" w:rsidRPr="003F289C" w:rsidRDefault="003F289C" w:rsidP="003F289C">
            <w:pPr>
              <w:spacing w:line="204" w:lineRule="exact"/>
              <w:rPr>
                <w:rFonts w:ascii="Arial"/>
                <w:b/>
                <w:sz w:val="16"/>
                <w:szCs w:val="18"/>
                <w:rtl/>
              </w:rPr>
            </w:pPr>
            <w:r w:rsidRPr="003F289C">
              <w:rPr>
                <w:rFonts w:ascii="Arial"/>
                <w:b/>
                <w:sz w:val="16"/>
                <w:szCs w:val="18"/>
              </w:rPr>
              <w:t>1813.5</w:t>
            </w:r>
          </w:p>
        </w:tc>
        <w:tc>
          <w:tcPr>
            <w:tcW w:w="376" w:type="pct"/>
            <w:tcBorders>
              <w:top w:val="single" w:sz="4" w:space="0" w:color="auto"/>
              <w:left w:val="single" w:sz="4" w:space="0" w:color="auto"/>
              <w:bottom w:val="single" w:sz="4" w:space="0" w:color="auto"/>
              <w:right w:val="single" w:sz="4" w:space="0" w:color="auto"/>
            </w:tcBorders>
            <w:vAlign w:val="center"/>
            <w:hideMark/>
          </w:tcPr>
          <w:p w:rsidR="003F289C" w:rsidRPr="003F289C" w:rsidRDefault="003F289C" w:rsidP="003F289C">
            <w:pPr>
              <w:spacing w:line="204" w:lineRule="exact"/>
              <w:rPr>
                <w:rFonts w:ascii="Arial"/>
                <w:b/>
                <w:sz w:val="16"/>
                <w:szCs w:val="18"/>
                <w:rtl/>
              </w:rPr>
            </w:pPr>
            <w:r w:rsidRPr="003F289C">
              <w:rPr>
                <w:rFonts w:ascii="Arial"/>
                <w:b/>
                <w:sz w:val="16"/>
                <w:szCs w:val="18"/>
              </w:rPr>
              <w:t>1</w:t>
            </w:r>
          </w:p>
        </w:tc>
        <w:tc>
          <w:tcPr>
            <w:tcW w:w="640" w:type="pct"/>
            <w:tcBorders>
              <w:top w:val="single" w:sz="4" w:space="0" w:color="auto"/>
              <w:left w:val="single" w:sz="4" w:space="0" w:color="auto"/>
              <w:bottom w:val="single" w:sz="4" w:space="0" w:color="auto"/>
              <w:right w:val="single" w:sz="4" w:space="0" w:color="auto"/>
            </w:tcBorders>
            <w:vAlign w:val="center"/>
            <w:hideMark/>
          </w:tcPr>
          <w:p w:rsidR="003F289C" w:rsidRPr="003F289C" w:rsidRDefault="003F289C" w:rsidP="003F289C">
            <w:pPr>
              <w:spacing w:line="204" w:lineRule="exact"/>
              <w:rPr>
                <w:rFonts w:ascii="Arial"/>
                <w:b/>
                <w:sz w:val="16"/>
                <w:szCs w:val="18"/>
                <w:rtl/>
              </w:rPr>
            </w:pPr>
            <w:r w:rsidRPr="003F289C">
              <w:rPr>
                <w:rFonts w:ascii="Arial"/>
                <w:b/>
                <w:sz w:val="16"/>
                <w:szCs w:val="18"/>
              </w:rPr>
              <w:t>1813.5</w:t>
            </w:r>
          </w:p>
        </w:tc>
        <w:tc>
          <w:tcPr>
            <w:tcW w:w="679" w:type="pct"/>
            <w:tcBorders>
              <w:top w:val="single" w:sz="4" w:space="0" w:color="auto"/>
              <w:left w:val="single" w:sz="4" w:space="0" w:color="auto"/>
              <w:bottom w:val="single" w:sz="4" w:space="0" w:color="auto"/>
              <w:right w:val="single" w:sz="4" w:space="0" w:color="auto"/>
            </w:tcBorders>
            <w:vAlign w:val="center"/>
            <w:hideMark/>
          </w:tcPr>
          <w:p w:rsidR="003F289C" w:rsidRPr="003F289C" w:rsidRDefault="003F289C" w:rsidP="003F289C">
            <w:pPr>
              <w:spacing w:line="204" w:lineRule="exact"/>
              <w:rPr>
                <w:rFonts w:ascii="Arial"/>
                <w:b/>
                <w:sz w:val="16"/>
                <w:szCs w:val="18"/>
                <w:rtl/>
              </w:rPr>
            </w:pPr>
            <w:r w:rsidRPr="003F289C">
              <w:rPr>
                <w:rFonts w:ascii="Arial"/>
                <w:b/>
                <w:sz w:val="16"/>
                <w:szCs w:val="18"/>
              </w:rPr>
              <w:t>1026.6</w:t>
            </w:r>
          </w:p>
        </w:tc>
        <w:tc>
          <w:tcPr>
            <w:tcW w:w="595" w:type="pct"/>
            <w:tcBorders>
              <w:top w:val="single" w:sz="4" w:space="0" w:color="auto"/>
              <w:left w:val="single" w:sz="4" w:space="0" w:color="auto"/>
              <w:bottom w:val="single" w:sz="4" w:space="0" w:color="auto"/>
              <w:right w:val="single" w:sz="4" w:space="0" w:color="auto"/>
            </w:tcBorders>
            <w:vAlign w:val="center"/>
            <w:hideMark/>
          </w:tcPr>
          <w:p w:rsidR="003F289C" w:rsidRPr="003F289C" w:rsidRDefault="003F289C" w:rsidP="003F289C">
            <w:pPr>
              <w:spacing w:line="204" w:lineRule="exact"/>
              <w:rPr>
                <w:rFonts w:ascii="Arial"/>
                <w:b/>
                <w:sz w:val="16"/>
                <w:szCs w:val="18"/>
              </w:rPr>
            </w:pPr>
            <w:r w:rsidRPr="003F289C">
              <w:rPr>
                <w:rFonts w:ascii="Arial"/>
                <w:b/>
                <w:sz w:val="16"/>
                <w:szCs w:val="18"/>
              </w:rPr>
              <w:t>0.001</w:t>
            </w:r>
          </w:p>
        </w:tc>
        <w:tc>
          <w:tcPr>
            <w:tcW w:w="849" w:type="pct"/>
            <w:tcBorders>
              <w:top w:val="single" w:sz="4" w:space="0" w:color="auto"/>
              <w:left w:val="single" w:sz="4" w:space="0" w:color="auto"/>
              <w:bottom w:val="single" w:sz="4" w:space="0" w:color="auto"/>
              <w:right w:val="single" w:sz="4" w:space="0" w:color="auto"/>
            </w:tcBorders>
            <w:vAlign w:val="center"/>
            <w:hideMark/>
          </w:tcPr>
          <w:p w:rsidR="003F289C" w:rsidRPr="003F289C" w:rsidRDefault="003F289C" w:rsidP="003F289C">
            <w:pPr>
              <w:spacing w:line="204" w:lineRule="exact"/>
              <w:rPr>
                <w:rFonts w:ascii="Arial"/>
                <w:b/>
                <w:sz w:val="16"/>
                <w:szCs w:val="18"/>
              </w:rPr>
            </w:pPr>
            <w:r w:rsidRPr="003F289C">
              <w:rPr>
                <w:rFonts w:ascii="Arial"/>
                <w:b/>
                <w:sz w:val="16"/>
                <w:szCs w:val="18"/>
              </w:rPr>
              <w:t>0.94</w:t>
            </w:r>
          </w:p>
        </w:tc>
      </w:tr>
    </w:tbl>
    <w:p w:rsidR="005973B9" w:rsidRDefault="005973B9" w:rsidP="005973B9">
      <w:pPr>
        <w:spacing w:line="204" w:lineRule="exact"/>
        <w:rPr>
          <w:rFonts w:ascii="Arial"/>
          <w:b/>
          <w:sz w:val="20"/>
        </w:rPr>
      </w:pPr>
      <w:r>
        <w:rPr>
          <w:rFonts w:ascii="Arial"/>
          <w:b/>
          <w:color w:val="BF5A14"/>
          <w:sz w:val="20"/>
        </w:rPr>
        <w:br/>
        <w:t>Recent Publications (minimum 5)</w:t>
      </w:r>
    </w:p>
    <w:p w:rsidR="003F289C" w:rsidRPr="003F289C" w:rsidRDefault="003F289C" w:rsidP="003F289C">
      <w:pPr>
        <w:pStyle w:val="ListParagraph"/>
        <w:numPr>
          <w:ilvl w:val="0"/>
          <w:numId w:val="3"/>
        </w:numPr>
        <w:tabs>
          <w:tab w:val="left" w:pos="384"/>
        </w:tabs>
        <w:ind w:right="117"/>
        <w:rPr>
          <w:sz w:val="18"/>
        </w:rPr>
      </w:pPr>
      <w:proofErr w:type="spellStart"/>
      <w:r w:rsidRPr="003F289C">
        <w:rPr>
          <w:sz w:val="18"/>
        </w:rPr>
        <w:t>Westrup</w:t>
      </w:r>
      <w:proofErr w:type="spellEnd"/>
      <w:r w:rsidRPr="003F289C">
        <w:rPr>
          <w:sz w:val="18"/>
        </w:rPr>
        <w:t>, D., &amp; Wright, M. J. (2017). Learning ACT for Group Treatment: An Acceptance and Commitment Therapy Skills Training Manual for Therapists. Context Press.</w:t>
      </w:r>
    </w:p>
    <w:p w:rsidR="003F289C" w:rsidRPr="003F289C" w:rsidRDefault="003F289C" w:rsidP="003F289C">
      <w:pPr>
        <w:pStyle w:val="ListParagraph"/>
        <w:numPr>
          <w:ilvl w:val="0"/>
          <w:numId w:val="3"/>
        </w:numPr>
        <w:tabs>
          <w:tab w:val="left" w:pos="384"/>
        </w:tabs>
        <w:ind w:right="117"/>
        <w:rPr>
          <w:sz w:val="18"/>
        </w:rPr>
      </w:pPr>
      <w:r w:rsidRPr="003F289C">
        <w:rPr>
          <w:sz w:val="18"/>
        </w:rPr>
        <w:t>Hulbert-</w:t>
      </w:r>
      <w:proofErr w:type="gramStart"/>
      <w:r w:rsidRPr="003F289C">
        <w:rPr>
          <w:sz w:val="18"/>
        </w:rPr>
        <w:t>Williams  N</w:t>
      </w:r>
      <w:proofErr w:type="gramEnd"/>
      <w:r w:rsidRPr="003F289C">
        <w:rPr>
          <w:sz w:val="18"/>
        </w:rPr>
        <w:t xml:space="preserve">. and Owen R. (2015). Acceptance and Commitment Therapy (ACT) for Cancer Patients. In Jimmie C. Holland  , William S. </w:t>
      </w:r>
      <w:proofErr w:type="spellStart"/>
      <w:r w:rsidRPr="003F289C">
        <w:rPr>
          <w:sz w:val="18"/>
        </w:rPr>
        <w:t>Breitbart</w:t>
      </w:r>
      <w:proofErr w:type="spellEnd"/>
      <w:r w:rsidRPr="003F289C">
        <w:rPr>
          <w:sz w:val="18"/>
        </w:rPr>
        <w:t xml:space="preserve">  , Paul B. Jacobsen  , Matthew J. </w:t>
      </w:r>
      <w:proofErr w:type="spellStart"/>
      <w:r w:rsidRPr="003F289C">
        <w:rPr>
          <w:sz w:val="18"/>
        </w:rPr>
        <w:t>Loscalzo</w:t>
      </w:r>
      <w:proofErr w:type="spellEnd"/>
      <w:r w:rsidRPr="003F289C">
        <w:rPr>
          <w:sz w:val="18"/>
        </w:rPr>
        <w:t xml:space="preserve">  , Ruth McCorkle  , and Phyllis N. </w:t>
      </w:r>
      <w:proofErr w:type="spellStart"/>
      <w:r w:rsidRPr="003F289C">
        <w:rPr>
          <w:sz w:val="18"/>
        </w:rPr>
        <w:t>Butow</w:t>
      </w:r>
      <w:proofErr w:type="spellEnd"/>
      <w:r w:rsidRPr="003F289C">
        <w:rPr>
          <w:sz w:val="18"/>
        </w:rPr>
        <w:t xml:space="preserve"> (2015). Psycho-Oncology (3 </w:t>
      </w:r>
      <w:proofErr w:type="gramStart"/>
      <w:r w:rsidRPr="003F289C">
        <w:rPr>
          <w:sz w:val="18"/>
        </w:rPr>
        <w:t>ed</w:t>
      </w:r>
      <w:proofErr w:type="gramEnd"/>
      <w:r w:rsidRPr="003F289C">
        <w:rPr>
          <w:sz w:val="18"/>
        </w:rPr>
        <w:t>.) Oxford University Press  DOI: 10.1093/med/9780199363315.003.0068</w:t>
      </w:r>
    </w:p>
    <w:p w:rsidR="003F289C" w:rsidRPr="003F289C" w:rsidRDefault="003F289C" w:rsidP="003F289C">
      <w:pPr>
        <w:pStyle w:val="ListParagraph"/>
        <w:numPr>
          <w:ilvl w:val="0"/>
          <w:numId w:val="3"/>
        </w:numPr>
        <w:tabs>
          <w:tab w:val="left" w:pos="384"/>
        </w:tabs>
        <w:ind w:right="117"/>
        <w:rPr>
          <w:sz w:val="18"/>
        </w:rPr>
      </w:pPr>
      <w:r w:rsidRPr="003F289C">
        <w:rPr>
          <w:sz w:val="18"/>
        </w:rPr>
        <w:t xml:space="preserve">Johnson, A., </w:t>
      </w:r>
      <w:proofErr w:type="spellStart"/>
      <w:r w:rsidRPr="003F289C">
        <w:rPr>
          <w:sz w:val="18"/>
        </w:rPr>
        <w:t>Delduca</w:t>
      </w:r>
      <w:proofErr w:type="spellEnd"/>
      <w:r w:rsidRPr="003F289C">
        <w:rPr>
          <w:sz w:val="18"/>
        </w:rPr>
        <w:t xml:space="preserve">, C., &amp; Morris, R. (2021). Living Your Life with Cancer through Acceptance and Commitment Therapy: Flying over Thunderstorms. UK, London,  </w:t>
      </w:r>
      <w:proofErr w:type="spellStart"/>
      <w:r w:rsidRPr="003F289C">
        <w:rPr>
          <w:sz w:val="18"/>
        </w:rPr>
        <w:t>Routledge</w:t>
      </w:r>
      <w:proofErr w:type="spellEnd"/>
      <w:r w:rsidRPr="003F289C">
        <w:rPr>
          <w:sz w:val="18"/>
        </w:rPr>
        <w:t>, Taylor &amp; Francis Group</w:t>
      </w:r>
    </w:p>
    <w:p w:rsidR="003F289C" w:rsidRPr="003F289C" w:rsidRDefault="003F289C" w:rsidP="003F289C">
      <w:pPr>
        <w:pStyle w:val="ListParagraph"/>
        <w:numPr>
          <w:ilvl w:val="0"/>
          <w:numId w:val="3"/>
        </w:numPr>
        <w:tabs>
          <w:tab w:val="left" w:pos="384"/>
        </w:tabs>
        <w:ind w:right="117"/>
        <w:rPr>
          <w:sz w:val="18"/>
        </w:rPr>
      </w:pPr>
      <w:r w:rsidRPr="003F289C">
        <w:rPr>
          <w:sz w:val="18"/>
        </w:rPr>
        <w:t xml:space="preserve">Johns, S. A., Stutz, P. V., </w:t>
      </w:r>
      <w:proofErr w:type="spellStart"/>
      <w:r w:rsidRPr="003F289C">
        <w:rPr>
          <w:sz w:val="18"/>
        </w:rPr>
        <w:t>Talib</w:t>
      </w:r>
      <w:proofErr w:type="spellEnd"/>
      <w:r w:rsidRPr="003F289C">
        <w:rPr>
          <w:sz w:val="18"/>
        </w:rPr>
        <w:t xml:space="preserve">, T. L., </w:t>
      </w:r>
      <w:proofErr w:type="spellStart"/>
      <w:r w:rsidRPr="003F289C">
        <w:rPr>
          <w:sz w:val="18"/>
        </w:rPr>
        <w:t>Cohee</w:t>
      </w:r>
      <w:proofErr w:type="spellEnd"/>
      <w:r w:rsidRPr="003F289C">
        <w:rPr>
          <w:sz w:val="18"/>
        </w:rPr>
        <w:t xml:space="preserve">, A. A., Beck-Coon, K. A., Brown, L. F., Wilhelm, L. R., Monahan, P. O., </w:t>
      </w:r>
      <w:proofErr w:type="spellStart"/>
      <w:r w:rsidRPr="003F289C">
        <w:rPr>
          <w:sz w:val="18"/>
        </w:rPr>
        <w:t>LaPradd</w:t>
      </w:r>
      <w:proofErr w:type="spellEnd"/>
      <w:r w:rsidRPr="003F289C">
        <w:rPr>
          <w:sz w:val="18"/>
        </w:rPr>
        <w:t xml:space="preserve">, M. L., Champion, V. L., Miller, K. D., &amp; </w:t>
      </w:r>
      <w:proofErr w:type="spellStart"/>
      <w:r w:rsidRPr="003F289C">
        <w:rPr>
          <w:sz w:val="18"/>
        </w:rPr>
        <w:t>Giesler</w:t>
      </w:r>
      <w:proofErr w:type="spellEnd"/>
      <w:r w:rsidRPr="003F289C">
        <w:rPr>
          <w:sz w:val="18"/>
        </w:rPr>
        <w:t>, R. B. (2020). Acceptance and commitment therapy for breast cancer survivors with fear of cancer recurrence: A 3-arm pilot randomized controlled trial. Cancer, 126(1), 211–218. https://doi.org/10.1002/cncr.32518</w:t>
      </w:r>
    </w:p>
    <w:p w:rsidR="003F289C" w:rsidRPr="003F289C" w:rsidRDefault="003F289C" w:rsidP="003F289C">
      <w:pPr>
        <w:pStyle w:val="ListParagraph"/>
        <w:numPr>
          <w:ilvl w:val="0"/>
          <w:numId w:val="3"/>
        </w:numPr>
        <w:tabs>
          <w:tab w:val="left" w:pos="384"/>
        </w:tabs>
        <w:ind w:right="117"/>
        <w:rPr>
          <w:sz w:val="18"/>
        </w:rPr>
      </w:pPr>
      <w:r w:rsidRPr="003F289C">
        <w:rPr>
          <w:sz w:val="18"/>
        </w:rPr>
        <w:t>González-</w:t>
      </w:r>
      <w:proofErr w:type="spellStart"/>
      <w:r w:rsidRPr="003F289C">
        <w:rPr>
          <w:sz w:val="18"/>
        </w:rPr>
        <w:t>Fernández</w:t>
      </w:r>
      <w:proofErr w:type="spellEnd"/>
      <w:r w:rsidRPr="003F289C">
        <w:rPr>
          <w:sz w:val="18"/>
        </w:rPr>
        <w:t xml:space="preserve">, S., &amp; </w:t>
      </w:r>
      <w:proofErr w:type="spellStart"/>
      <w:r w:rsidRPr="003F289C">
        <w:rPr>
          <w:sz w:val="18"/>
        </w:rPr>
        <w:t>Fernández</w:t>
      </w:r>
      <w:proofErr w:type="spellEnd"/>
      <w:r w:rsidRPr="003F289C">
        <w:rPr>
          <w:sz w:val="18"/>
        </w:rPr>
        <w:t>-Rodríguez, C. (2019). Acceptance and Commitment Therapy in Cancer: Review of Applications and Findings. Behavioral medicine (Washington, D.C.), 45(3), 255–269. https://doi.org/10.1080/08964289.2018.1452713</w:t>
      </w:r>
    </w:p>
    <w:p w:rsidR="00AE3E37" w:rsidRPr="008756E6" w:rsidRDefault="003F289C" w:rsidP="008756E6">
      <w:pPr>
        <w:pStyle w:val="ListParagraph"/>
        <w:numPr>
          <w:ilvl w:val="0"/>
          <w:numId w:val="3"/>
        </w:numPr>
        <w:tabs>
          <w:tab w:val="left" w:pos="384"/>
        </w:tabs>
        <w:ind w:right="117"/>
      </w:pPr>
      <w:r w:rsidRPr="003F289C">
        <w:rPr>
          <w:sz w:val="18"/>
        </w:rPr>
        <w:t>Han, J.</w:t>
      </w:r>
      <w:proofErr w:type="gramStart"/>
      <w:r w:rsidRPr="003F289C">
        <w:rPr>
          <w:sz w:val="18"/>
        </w:rPr>
        <w:t>,  Liu</w:t>
      </w:r>
      <w:proofErr w:type="gramEnd"/>
      <w:r w:rsidRPr="003F289C">
        <w:rPr>
          <w:sz w:val="18"/>
        </w:rPr>
        <w:t xml:space="preserve">, J.,  Su, Y., &amp; </w:t>
      </w:r>
      <w:proofErr w:type="spellStart"/>
      <w:r w:rsidRPr="003F289C">
        <w:rPr>
          <w:sz w:val="18"/>
        </w:rPr>
        <w:t>Qiu</w:t>
      </w:r>
      <w:proofErr w:type="spellEnd"/>
      <w:r w:rsidRPr="003F289C">
        <w:rPr>
          <w:sz w:val="18"/>
        </w:rPr>
        <w:t>, H. (2019). Effect of a group-based acceptance and commitment therapy (ACT) intervention on illness cognition in breast cancer patients. Journal of Context Behavioral Science. 14, 73-81. https://doi.org/10.1016/j.jcbs.2019</w:t>
      </w:r>
      <w:r w:rsidRPr="003F289C">
        <w:rPr>
          <w:rFonts w:cs="Times New Roman"/>
          <w:sz w:val="18"/>
        </w:rPr>
        <w:t>.09.003</w: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4800DE">
      <w:pPr>
        <w:pStyle w:val="BodyText"/>
        <w:spacing w:line="40" w:lineRule="exact"/>
        <w:ind w:left="2202"/>
        <w:rPr>
          <w:rFonts w:ascii="Calibri"/>
          <w:sz w:val="4"/>
        </w:rPr>
      </w:pPr>
      <w:r>
        <w:rPr>
          <w:rFonts w:ascii="Calibri"/>
          <w:noProof/>
          <w:sz w:val="4"/>
          <w:lang w:val="en-IN" w:eastAsia="en-IN"/>
        </w:rPr>
        <w:drawing>
          <wp:inline distT="0" distB="0" distL="0" distR="0" wp14:anchorId="5B305AC0">
            <wp:extent cx="951230" cy="450850"/>
            <wp:effectExtent l="0" t="0" r="127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1230" cy="450850"/>
                    </a:xfrm>
                    <a:prstGeom prst="rect">
                      <a:avLst/>
                    </a:prstGeom>
                    <a:noFill/>
                  </pic:spPr>
                </pic:pic>
              </a:graphicData>
            </a:graphic>
          </wp:inline>
        </w:drawing>
      </w:r>
      <w:r w:rsidR="00292ED9">
        <w:rPr>
          <w:rFonts w:ascii="Calibri"/>
          <w:noProof/>
          <w:sz w:val="4"/>
          <w:lang w:val="en-IN" w:eastAsia="en-IN"/>
        </w:rPr>
        <mc:AlternateContent>
          <mc:Choice Requires="wpg">
            <w:drawing>
              <wp:inline distT="0" distB="0" distL="0" distR="0" wp14:anchorId="7B87EED5" wp14:editId="28E256B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anchorx="page"/>
                <w10:anchorlock/>
              </v:group>
            </w:pict>
          </mc:Fallback>
        </mc:AlternateContent>
      </w:r>
    </w:p>
    <w:p w:rsidR="00AE3E37" w:rsidRDefault="008756E6" w:rsidP="00404E5B">
      <w:pPr>
        <w:spacing w:before="92"/>
        <w:ind w:right="4234"/>
        <w:rPr>
          <w:rFonts w:ascii="Arial"/>
        </w:rPr>
      </w:pPr>
      <w:r>
        <w:rPr>
          <w:noProof/>
        </w:rPr>
        <w:t xml:space="preserve">              </w:t>
      </w:r>
      <w:r w:rsidR="005F3665">
        <w:rPr>
          <w:noProof/>
          <w:lang w:val="en-IN" w:eastAsia="en-IN"/>
        </w:rPr>
        <w:drawing>
          <wp:inline distT="0" distB="0" distL="0" distR="0">
            <wp:extent cx="685800" cy="685800"/>
            <wp:effectExtent l="0" t="0" r="0" b="0"/>
            <wp:docPr id="1" name="Picture 1" descr="I:\HP V210W\Maghalat\congeress\Final\farhad seif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HP V210W\Maghalat\congeress\Final\farhad seifi.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r w:rsidR="005F3665" w:rsidRPr="005F3665">
        <w:rPr>
          <w:noProof/>
          <w:lang w:bidi="fa-IR"/>
        </w:rPr>
        <w:t xml:space="preserve"> </w:t>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r w:rsidR="004800DE">
        <w:rPr>
          <w:rFonts w:ascii="Calibri"/>
          <w:noProof/>
          <w:sz w:val="20"/>
          <w:lang w:val="en-IN" w:eastAsia="en-IN"/>
        </w:rPr>
        <w:drawing>
          <wp:inline distT="0" distB="0" distL="0" distR="0" wp14:anchorId="1F4CB2AE" wp14:editId="5C6F7A47">
            <wp:extent cx="951230" cy="450850"/>
            <wp:effectExtent l="0" t="0" r="127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1230" cy="450850"/>
                    </a:xfrm>
                    <a:prstGeom prst="rect">
                      <a:avLst/>
                    </a:prstGeom>
                    <a:noFill/>
                  </pic:spPr>
                </pic:pic>
              </a:graphicData>
            </a:graphic>
          </wp:inline>
        </w:drawing>
      </w:r>
    </w:p>
    <w:p w:rsidR="00AE3E37" w:rsidRDefault="003F289C" w:rsidP="003F289C">
      <w:pPr>
        <w:spacing w:before="41" w:line="154" w:lineRule="exact"/>
        <w:ind w:left="213" w:right="231"/>
        <w:jc w:val="both"/>
        <w:rPr>
          <w:rFonts w:ascii="Arial"/>
          <w:sz w:val="14"/>
        </w:rPr>
      </w:pPr>
      <w:bookmarkStart w:id="0" w:name="_GoBack"/>
      <w:proofErr w:type="spellStart"/>
      <w:r w:rsidRPr="003F289C">
        <w:rPr>
          <w:rFonts w:ascii="Arial"/>
          <w:sz w:val="14"/>
        </w:rPr>
        <w:t>Farhad</w:t>
      </w:r>
      <w:proofErr w:type="spellEnd"/>
      <w:r w:rsidRPr="003F289C">
        <w:rPr>
          <w:rFonts w:ascii="Arial"/>
          <w:sz w:val="14"/>
        </w:rPr>
        <w:t xml:space="preserve"> </w:t>
      </w:r>
      <w:proofErr w:type="spellStart"/>
      <w:r w:rsidRPr="003F289C">
        <w:rPr>
          <w:rFonts w:ascii="Arial"/>
          <w:sz w:val="14"/>
        </w:rPr>
        <w:t>Seifi</w:t>
      </w:r>
      <w:proofErr w:type="spellEnd"/>
      <w:r w:rsidRPr="003F289C">
        <w:rPr>
          <w:rFonts w:ascii="Arial"/>
          <w:sz w:val="14"/>
        </w:rPr>
        <w:t xml:space="preserve"> </w:t>
      </w:r>
      <w:bookmarkEnd w:id="0"/>
      <w:r w:rsidRPr="003F289C">
        <w:rPr>
          <w:rFonts w:ascii="Arial"/>
          <w:sz w:val="14"/>
        </w:rPr>
        <w:t xml:space="preserve">received his bachelor's degree in psychology and his master's degree in clinical psychology from </w:t>
      </w:r>
      <w:proofErr w:type="spellStart"/>
      <w:r w:rsidRPr="003F289C">
        <w:rPr>
          <w:rFonts w:ascii="Arial"/>
          <w:sz w:val="14"/>
        </w:rPr>
        <w:t>Shahid</w:t>
      </w:r>
      <w:proofErr w:type="spellEnd"/>
      <w:r w:rsidRPr="003F289C">
        <w:rPr>
          <w:rFonts w:ascii="Arial"/>
          <w:sz w:val="14"/>
        </w:rPr>
        <w:t xml:space="preserve"> </w:t>
      </w:r>
      <w:proofErr w:type="spellStart"/>
      <w:r w:rsidRPr="003F289C">
        <w:rPr>
          <w:rFonts w:ascii="Arial"/>
          <w:sz w:val="14"/>
        </w:rPr>
        <w:t>Bahonar</w:t>
      </w:r>
      <w:proofErr w:type="spellEnd"/>
      <w:r w:rsidRPr="003F289C">
        <w:rPr>
          <w:rFonts w:ascii="Arial"/>
          <w:sz w:val="14"/>
        </w:rPr>
        <w:t xml:space="preserve"> University. The focus of his recent research is on the Suicide Ideation</w:t>
      </w:r>
      <w:r>
        <w:rPr>
          <w:rFonts w:ascii="Arial"/>
          <w:sz w:val="14"/>
        </w:rPr>
        <w:t>,</w:t>
      </w:r>
      <w:r w:rsidR="004800DE" w:rsidRPr="004800DE">
        <w:rPr>
          <w:rFonts w:ascii="Arial"/>
          <w:sz w:val="14"/>
        </w:rPr>
        <w:t xml:space="preserve"> psychotherapy methods and techniques, </w:t>
      </w:r>
      <w:r w:rsidR="009F60FF">
        <w:rPr>
          <w:rFonts w:ascii="Arial"/>
          <w:sz w:val="14"/>
        </w:rPr>
        <w:t xml:space="preserve">resilience, </w:t>
      </w:r>
      <w:r>
        <w:rPr>
          <w:rFonts w:ascii="Arial"/>
          <w:sz w:val="14"/>
        </w:rPr>
        <w:t>body image</w:t>
      </w:r>
      <w:r w:rsidR="009F60FF">
        <w:rPr>
          <w:rFonts w:ascii="Arial"/>
          <w:sz w:val="14"/>
        </w:rPr>
        <w:t xml:space="preserve">, </w:t>
      </w:r>
      <w:r w:rsidR="004800DE" w:rsidRPr="004800DE">
        <w:rPr>
          <w:rFonts w:ascii="Arial"/>
          <w:sz w:val="14"/>
        </w:rPr>
        <w:t xml:space="preserve">trauma, OCD, BDD, sexual dysfunctions </w:t>
      </w:r>
      <w:r w:rsidRPr="004800DE">
        <w:rPr>
          <w:rFonts w:ascii="Arial"/>
          <w:sz w:val="14"/>
        </w:rPr>
        <w:t xml:space="preserve">and </w:t>
      </w:r>
      <w:r w:rsidR="004800DE" w:rsidRPr="004800DE">
        <w:rPr>
          <w:rFonts w:ascii="Arial"/>
          <w:sz w:val="14"/>
        </w:rPr>
        <w:t>paraphilia.</w:t>
      </w:r>
    </w:p>
    <w:p w:rsidR="00AE3E37" w:rsidRPr="005F3665" w:rsidRDefault="00A9710C" w:rsidP="005F3665">
      <w:pPr>
        <w:spacing w:before="62"/>
        <w:ind w:left="4217" w:right="4235"/>
        <w:jc w:val="center"/>
        <w:rPr>
          <w:rFonts w:ascii="Arial"/>
          <w:sz w:val="16"/>
          <w:szCs w:val="24"/>
        </w:rPr>
      </w:pPr>
      <w:r w:rsidRPr="005F3665">
        <w:rPr>
          <w:rFonts w:ascii="Arial"/>
          <w:sz w:val="16"/>
          <w:szCs w:val="24"/>
        </w:rPr>
        <w:t>Email:</w:t>
      </w:r>
      <w:r w:rsidR="005F3665" w:rsidRPr="005F3665">
        <w:rPr>
          <w:rFonts w:ascii="Arial"/>
          <w:sz w:val="16"/>
          <w:szCs w:val="24"/>
        </w:rPr>
        <w:t>farhadseifi2@gmail.com</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78B1FB7C" wp14:editId="5F09C89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5F3665">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5F3665" w:rsidRPr="005F3665">
        <w:rPr>
          <w:sz w:val="20"/>
          <w:szCs w:val="20"/>
          <w:lang w:val="en-NZ"/>
        </w:rPr>
        <w:t>Farhad</w:t>
      </w:r>
      <w:proofErr w:type="spellEnd"/>
      <w:r w:rsidR="005F3665" w:rsidRPr="005F3665">
        <w:rPr>
          <w:sz w:val="20"/>
          <w:szCs w:val="20"/>
          <w:lang w:val="en-NZ"/>
        </w:rPr>
        <w:t xml:space="preserve"> </w:t>
      </w:r>
      <w:proofErr w:type="spellStart"/>
      <w:r w:rsidR="005F3665" w:rsidRPr="005F3665">
        <w:rPr>
          <w:sz w:val="20"/>
          <w:szCs w:val="20"/>
          <w:lang w:val="en-NZ"/>
        </w:rPr>
        <w:t>Seifi</w:t>
      </w:r>
      <w:proofErr w:type="spellEnd"/>
      <w:r w:rsidRPr="00F35A62">
        <w:rPr>
          <w:sz w:val="20"/>
          <w:szCs w:val="20"/>
          <w:lang w:val="en-NZ"/>
        </w:rPr>
        <w:br/>
        <w:t>Contact number:</w:t>
      </w:r>
      <w:r w:rsidR="004800DE">
        <w:rPr>
          <w:sz w:val="20"/>
          <w:szCs w:val="20"/>
          <w:lang w:val="en-NZ"/>
        </w:rPr>
        <w:t xml:space="preserve"> +98</w:t>
      </w:r>
      <w:r w:rsidR="005F3665">
        <w:rPr>
          <w:sz w:val="20"/>
          <w:szCs w:val="20"/>
          <w:lang w:val="en-NZ"/>
        </w:rPr>
        <w:t>9904357277</w:t>
      </w:r>
      <w:r w:rsidRPr="00F35A62">
        <w:rPr>
          <w:sz w:val="20"/>
          <w:szCs w:val="20"/>
          <w:lang w:val="en-NZ"/>
        </w:rPr>
        <w:br/>
        <w:t>Twitter account</w:t>
      </w:r>
      <w:proofErr w:type="gramStart"/>
      <w:r w:rsidRPr="00F35A62">
        <w:rPr>
          <w:sz w:val="20"/>
          <w:szCs w:val="20"/>
          <w:lang w:val="en-NZ"/>
        </w:rPr>
        <w:t>:</w:t>
      </w:r>
      <w:proofErr w:type="gramEnd"/>
      <w:r w:rsidRPr="00F35A62">
        <w:rPr>
          <w:sz w:val="20"/>
          <w:szCs w:val="20"/>
          <w:lang w:val="en-NZ"/>
        </w:rPr>
        <w:br/>
        <w:t>Linked In account:</w:t>
      </w:r>
    </w:p>
    <w:p w:rsidR="00EA7D51" w:rsidRPr="004F0C19" w:rsidRDefault="00EA7D51" w:rsidP="004F0C19">
      <w:pPr>
        <w:autoSpaceDE w:val="0"/>
        <w:autoSpaceDN w:val="0"/>
        <w:adjustRightInd w:val="0"/>
        <w:rPr>
          <w:sz w:val="20"/>
          <w:szCs w:val="20"/>
          <w:lang w:val="en-NZ"/>
        </w:rPr>
        <w:sectPr w:rsidR="00EA7D51" w:rsidRPr="004F0C19" w:rsidSect="008E5477">
          <w:type w:val="continuous"/>
          <w:pgSz w:w="11910" w:h="16840"/>
          <w:pgMar w:top="995" w:right="600" w:bottom="840" w:left="620" w:header="720" w:footer="720" w:gutter="0"/>
          <w:cols w:space="720"/>
        </w:sectPr>
      </w:pPr>
      <w:r w:rsidRPr="00F35A62">
        <w:rPr>
          <w:sz w:val="20"/>
          <w:szCs w:val="20"/>
          <w:lang w:val="en-NZ"/>
        </w:rPr>
        <w:t>Se</w:t>
      </w:r>
      <w:r w:rsidR="004800DE">
        <w:rPr>
          <w:sz w:val="20"/>
          <w:szCs w:val="20"/>
          <w:lang w:val="en-NZ"/>
        </w:rPr>
        <w:t>ssion name/ number: Clinical Psychology</w:t>
      </w:r>
      <w:r w:rsidR="000A2F77">
        <w:rPr>
          <w:sz w:val="20"/>
          <w:szCs w:val="20"/>
          <w:lang w:val="en-NZ"/>
        </w:rPr>
        <w:t>/Women's Mental Health</w:t>
      </w:r>
      <w:r w:rsidR="004800DE">
        <w:rPr>
          <w:sz w:val="20"/>
          <w:szCs w:val="20"/>
          <w:lang w:val="en-NZ"/>
        </w:rPr>
        <w:t xml:space="preserve"> </w:t>
      </w:r>
      <w:r w:rsidR="004800DE">
        <w:rPr>
          <w:sz w:val="20"/>
          <w:szCs w:val="20"/>
          <w:lang w:val="en-NZ"/>
        </w:rPr>
        <w:br/>
        <w:t xml:space="preserve">Category: </w:t>
      </w:r>
      <w:r w:rsidRPr="00F35A62">
        <w:rPr>
          <w:sz w:val="20"/>
          <w:szCs w:val="20"/>
          <w:lang w:val="en-NZ"/>
        </w:rPr>
        <w:t>Oral presentation</w:t>
      </w:r>
      <w:r w:rsidRPr="00F35A62">
        <w:rPr>
          <w:sz w:val="20"/>
          <w:szCs w:val="20"/>
          <w:lang w:val="en-NZ"/>
        </w:rPr>
        <w:br/>
      </w:r>
    </w:p>
    <w:p w:rsidR="00AE3E37" w:rsidRDefault="00AE3E37" w:rsidP="004800DE">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3B9A" w:rsidRDefault="00DF3B9A">
      <w:r>
        <w:separator/>
      </w:r>
    </w:p>
  </w:endnote>
  <w:endnote w:type="continuationSeparator" w:id="0">
    <w:p w:rsidR="00DF3B9A" w:rsidRDefault="00DF3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3B9A" w:rsidRDefault="00DF3B9A">
      <w:r>
        <w:separator/>
      </w:r>
    </w:p>
  </w:footnote>
  <w:footnote w:type="continuationSeparator" w:id="0">
    <w:p w:rsidR="00DF3B9A" w:rsidRDefault="00DF3B9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A2F77"/>
    <w:rsid w:val="000B4CAA"/>
    <w:rsid w:val="000E2911"/>
    <w:rsid w:val="00103A8B"/>
    <w:rsid w:val="001263DF"/>
    <w:rsid w:val="00280627"/>
    <w:rsid w:val="00292ED9"/>
    <w:rsid w:val="00351D9B"/>
    <w:rsid w:val="00380299"/>
    <w:rsid w:val="003F289C"/>
    <w:rsid w:val="00404E5B"/>
    <w:rsid w:val="00414F7B"/>
    <w:rsid w:val="004355DC"/>
    <w:rsid w:val="004749B4"/>
    <w:rsid w:val="00475D20"/>
    <w:rsid w:val="004800DE"/>
    <w:rsid w:val="00494130"/>
    <w:rsid w:val="004F0C19"/>
    <w:rsid w:val="004F3523"/>
    <w:rsid w:val="00590D60"/>
    <w:rsid w:val="005973B9"/>
    <w:rsid w:val="005B3A56"/>
    <w:rsid w:val="005F3665"/>
    <w:rsid w:val="006060CE"/>
    <w:rsid w:val="0061505C"/>
    <w:rsid w:val="0063497F"/>
    <w:rsid w:val="00687F60"/>
    <w:rsid w:val="00714354"/>
    <w:rsid w:val="00873DF0"/>
    <w:rsid w:val="008756E6"/>
    <w:rsid w:val="00897EC5"/>
    <w:rsid w:val="008A0763"/>
    <w:rsid w:val="008E5477"/>
    <w:rsid w:val="009B2D44"/>
    <w:rsid w:val="009D140F"/>
    <w:rsid w:val="009F60FF"/>
    <w:rsid w:val="00A07E82"/>
    <w:rsid w:val="00A52075"/>
    <w:rsid w:val="00A9710C"/>
    <w:rsid w:val="00AD2A56"/>
    <w:rsid w:val="00AE3E37"/>
    <w:rsid w:val="00B10872"/>
    <w:rsid w:val="00B21A57"/>
    <w:rsid w:val="00BA31A5"/>
    <w:rsid w:val="00BE6743"/>
    <w:rsid w:val="00C33602"/>
    <w:rsid w:val="00C56C74"/>
    <w:rsid w:val="00CD6F55"/>
    <w:rsid w:val="00D152BF"/>
    <w:rsid w:val="00DE3104"/>
    <w:rsid w:val="00DE6170"/>
    <w:rsid w:val="00DF3B9A"/>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9D14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9D14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637</Words>
  <Characters>3632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Global Summit on Affiliate Marketing</cp:lastModifiedBy>
  <cp:revision>2</cp:revision>
  <dcterms:created xsi:type="dcterms:W3CDTF">2023-04-24T03:51:00Z</dcterms:created>
  <dcterms:modified xsi:type="dcterms:W3CDTF">2023-04-24T03:51:00Z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