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32"/>
          <w:szCs w:val="32"/>
          <w:lang w:val="en-IN"/>
        </w:rPr>
      </w:pPr>
      <w:r w:rsidRPr="00853253">
        <w:rPr>
          <w:rFonts w:ascii="Times New Roman" w:hAnsi="Times New Roman" w:cs="Times New Roman"/>
          <w:sz w:val="32"/>
          <w:szCs w:val="32"/>
          <w:lang w:val="en-IN"/>
        </w:rPr>
        <w:t>Comparison of OKULIX ray-tracing s</w:t>
      </w:r>
      <w:r w:rsidRPr="00853253">
        <w:rPr>
          <w:rFonts w:ascii="Times New Roman" w:hAnsi="Times New Roman" w:cs="Times New Roman"/>
          <w:sz w:val="32"/>
          <w:szCs w:val="32"/>
          <w:lang w:val="en-IN"/>
        </w:rPr>
        <w:t xml:space="preserve">oftware with SRK-T and Hoffer-Q </w:t>
      </w:r>
      <w:r w:rsidRPr="00853253">
        <w:rPr>
          <w:rFonts w:ascii="Times New Roman" w:hAnsi="Times New Roman" w:cs="Times New Roman"/>
          <w:sz w:val="32"/>
          <w:szCs w:val="32"/>
          <w:lang w:val="en-IN"/>
        </w:rPr>
        <w:t>formula in intraocular lens power calculation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32"/>
          <w:szCs w:val="32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Mohammad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Ghoreyshi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853253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a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Ahmadreza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Khalilian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853253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a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,*,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Mohammadreza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Peyman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853253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b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,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vertAlign w:val="superscript"/>
          <w:lang w:val="en-IN"/>
        </w:rPr>
      </w:pP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Mohaddeseh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Mohammadinia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853253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c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, Alireza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Peyman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853253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a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a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Isfahan University of Medical Sciences, Isfahan, Iran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b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University Malaya, Kuala Lumpur, Malaysia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c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Parsian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Vision Research Institute, Isfahan, Iran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>Abstract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Purpose: To compare the performance of OKULIX ray-tracing software with SRK-T and Hoffer Q formula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in intraocular lens (IOL) power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calculation in patients presenting with cataract.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>Methods: In this prospective study, 104 eyes of 104 patients with cataract who underw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ent phacoemulsification and IOL implantation were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recruited. Three IOL brands were used and for all eyes, IOL power calculation was performed using SRK-T, Hoffer Q formula and al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so OKULIX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ray-tracing software. For all patients, axial length and keratometry data was obtained with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IOLMaster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500 devi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ce and IOL power was determined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using Hoffer Q and SRK-T fo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rmula. The IOL powers were also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calculated using the OKULIX ray-tracing softw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are combined with CASIA ASOCT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and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IOLMaster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500 device. Optically measured axial </w:t>
      </w: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length of eyes were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inserted to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OKULIX software from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IOLMaster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500 device, and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anterior and posterior tomographic and corneal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pachymetry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data was imported from CASIA AS-OCT into the OKULIX.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>The performance of each calculation methods was measured by subtracting the predicted postoperative re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fraction from the postoperative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manifest refraction spherical equivalent (MRSE). For each of the 3 methods, the mean absolute prediction error was determined, too.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>Results: The mean value absolute prediction error by OKULIX, SRK-T and Hoffer Q formulas, respectively, were 0.42 (±0.03), 0.36 (±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0.02)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and 0.37 (±0.02). The mean absolute prediction error by OKULIX had no significant difference between three IOL groups (P ¼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0.96), and it was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confirmed that there was no meaningful statistically difference in mean absolute prediction error between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the OKULIX, SRK-T and Hoffer Q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formula. </w:t>
      </w: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(P ¼ 0.25).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Also in each group of implanted IOLs, all three formulas worked with the same accuracy. The prediction error using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OKULIX were within ±0.50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diopter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in 63.5% of eyes and within ±1.00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diopter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in 94.2% of eyes.</w:t>
      </w:r>
    </w:p>
    <w:p w:rsidR="00853253" w:rsidRP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543F0A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Conclusion: </w:t>
      </w:r>
      <w:proofErr w:type="gramStart"/>
      <w:r w:rsidRPr="00853253">
        <w:rPr>
          <w:rFonts w:ascii="Times New Roman" w:hAnsi="Times New Roman" w:cs="Times New Roman"/>
          <w:sz w:val="24"/>
          <w:szCs w:val="24"/>
          <w:lang w:val="en-IN"/>
        </w:rPr>
        <w:t>OKULIX ray-tracing IOL power measurements provides</w:t>
      </w:r>
      <w:proofErr w:type="gram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reliable and satisfactory postoperative r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esults, which are comparable to </w:t>
      </w:r>
      <w:r w:rsidRPr="00853253">
        <w:rPr>
          <w:rFonts w:ascii="Times New Roman" w:hAnsi="Times New Roman" w:cs="Times New Roman"/>
          <w:sz w:val="24"/>
          <w:szCs w:val="24"/>
          <w:lang w:val="en-IN"/>
        </w:rPr>
        <w:t>other 3rd generation formulas of SRK-T and Hoffer Q.</w:t>
      </w:r>
    </w:p>
    <w:p w:rsidR="00853253" w:rsidRDefault="00853253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</w:p>
    <w:p w:rsidR="00853253" w:rsidRPr="00074C51" w:rsidRDefault="00853253" w:rsidP="00853253">
      <w:pPr>
        <w:widowControl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74C51">
        <w:rPr>
          <w:rFonts w:ascii="Times New Roman" w:hAnsi="Times New Roman" w:cs="Times New Roman"/>
          <w:b/>
          <w:sz w:val="24"/>
          <w:szCs w:val="24"/>
          <w:lang w:val="en-IN"/>
        </w:rPr>
        <w:t>Biography:</w:t>
      </w:r>
    </w:p>
    <w:p w:rsidR="00853253" w:rsidRPr="00853253" w:rsidRDefault="00074C51" w:rsidP="00853253">
      <w:pPr>
        <w:widowControl/>
        <w:adjustRightInd w:val="0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Ahmadreza</w:t>
      </w:r>
      <w:proofErr w:type="spellEnd"/>
      <w:r w:rsidRPr="00853253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853253">
        <w:rPr>
          <w:rFonts w:ascii="Times New Roman" w:hAnsi="Times New Roman" w:cs="Times New Roman"/>
          <w:sz w:val="24"/>
          <w:szCs w:val="24"/>
          <w:lang w:val="en-IN"/>
        </w:rPr>
        <w:t>Khalilian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074C51">
        <w:rPr>
          <w:rFonts w:ascii="Times New Roman" w:hAnsi="Times New Roman" w:cs="Times New Roman"/>
          <w:sz w:val="24"/>
          <w:szCs w:val="24"/>
          <w:lang w:val="en-IN"/>
        </w:rPr>
        <w:t>Isfahan University of Medical Sciences also known as Medical University of Isfahan is a university specializing in basic medical sciences, clinical science, and health services, located in Isfahan, Iran. Isfahan University of Medical Sciences is one of the Iranian medical schools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bookmarkStart w:id="0" w:name="_GoBack"/>
      <w:bookmarkEnd w:id="0"/>
    </w:p>
    <w:sectPr w:rsidR="00853253" w:rsidRPr="008532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53"/>
    <w:rsid w:val="00074C51"/>
    <w:rsid w:val="00543F0A"/>
    <w:rsid w:val="00853253"/>
    <w:rsid w:val="00E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rlito" w:hAnsiTheme="minorHAnsi" w:cstheme="minorBidi"/>
        <w:sz w:val="22"/>
        <w:szCs w:val="22"/>
        <w:lang w:val="en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90F17"/>
    <w:rPr>
      <w:rFonts w:ascii="Carlito" w:hAnsi="Carlito" w:cs="Carlito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90F17"/>
    <w:pPr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90F17"/>
    <w:pPr>
      <w:spacing w:before="1" w:line="148" w:lineRule="exact"/>
      <w:ind w:right="71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sid w:val="00E90F17"/>
    <w:rPr>
      <w:rFonts w:ascii="Carlito" w:eastAsia="Carlito" w:hAnsi="Carlito" w:cs="Carlito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E90F17"/>
    <w:pPr>
      <w:spacing w:before="10"/>
      <w:ind w:left="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E90F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90F1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90F17"/>
    <w:rPr>
      <w:rFonts w:ascii="Carlito" w:eastAsia="Carlito" w:hAnsi="Carlito" w:cs="Carlito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90F17"/>
    <w:pPr>
      <w:ind w:left="500" w:hanging="36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rlito" w:hAnsiTheme="minorHAnsi" w:cstheme="minorBidi"/>
        <w:sz w:val="22"/>
        <w:szCs w:val="22"/>
        <w:lang w:val="en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90F17"/>
    <w:rPr>
      <w:rFonts w:ascii="Carlito" w:hAnsi="Carlito" w:cs="Carlito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90F17"/>
    <w:pPr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90F17"/>
    <w:pPr>
      <w:spacing w:before="1" w:line="148" w:lineRule="exact"/>
      <w:ind w:right="71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sid w:val="00E90F17"/>
    <w:rPr>
      <w:rFonts w:ascii="Carlito" w:eastAsia="Carlito" w:hAnsi="Carlito" w:cs="Carlito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E90F17"/>
    <w:pPr>
      <w:spacing w:before="10"/>
      <w:ind w:left="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E90F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90F1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90F17"/>
    <w:rPr>
      <w:rFonts w:ascii="Carlito" w:eastAsia="Carlito" w:hAnsi="Carlito" w:cs="Carlito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90F17"/>
    <w:pPr>
      <w:ind w:left="50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Pediatrics 2021</dc:creator>
  <cp:lastModifiedBy>Clinical Pediatrics 2021</cp:lastModifiedBy>
  <cp:revision>2</cp:revision>
  <dcterms:created xsi:type="dcterms:W3CDTF">2023-04-20T06:58:00Z</dcterms:created>
  <dcterms:modified xsi:type="dcterms:W3CDTF">2023-04-20T07:06:00Z</dcterms:modified>
</cp:coreProperties>
</file>