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D60ABA" w14:textId="681D2100" w:rsidR="00AE3E37" w:rsidRPr="0030796A" w:rsidRDefault="00F85451" w:rsidP="0030796A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34"/>
          <w:szCs w:val="24"/>
        </w:rPr>
      </w:pPr>
      <w:r w:rsidRPr="0030796A">
        <w:rPr>
          <w:rFonts w:ascii="Times New Roman" w:hAnsi="Times New Roman" w:cs="Times New Roman"/>
          <w:sz w:val="34"/>
          <w:szCs w:val="24"/>
        </w:rPr>
        <w:t xml:space="preserve">External </w:t>
      </w:r>
      <w:r w:rsidR="0030796A" w:rsidRPr="0030796A">
        <w:rPr>
          <w:rFonts w:ascii="Times New Roman" w:hAnsi="Times New Roman" w:cs="Times New Roman"/>
          <w:sz w:val="34"/>
          <w:szCs w:val="24"/>
        </w:rPr>
        <w:t>validation of a risk prediction tool in determining early death among elderly patients initiated on dialysis</w:t>
      </w:r>
    </w:p>
    <w:p w14:paraId="0449D59A" w14:textId="77777777" w:rsidR="00F85451" w:rsidRPr="0030796A" w:rsidRDefault="00F85451" w:rsidP="0030796A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76E745D5" w14:textId="7819872F" w:rsidR="00AE3E37" w:rsidRPr="0030796A" w:rsidRDefault="00F85451" w:rsidP="0030796A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sz w:val="24"/>
          <w:szCs w:val="24"/>
        </w:rPr>
        <w:t xml:space="preserve">Rachelle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Zo</w:t>
      </w:r>
      <w:r w:rsidR="00401301">
        <w:rPr>
          <w:rFonts w:ascii="Times New Roman" w:hAnsi="Times New Roman" w:cs="Times New Roman"/>
          <w:sz w:val="24"/>
          <w:szCs w:val="24"/>
        </w:rPr>
        <w:t>lla</w:t>
      </w:r>
      <w:proofErr w:type="spellEnd"/>
      <w:r w:rsidR="00401301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="00401301">
        <w:rPr>
          <w:rFonts w:ascii="Times New Roman" w:hAnsi="Times New Roman" w:cs="Times New Roman"/>
          <w:sz w:val="24"/>
          <w:szCs w:val="24"/>
        </w:rPr>
        <w:t>Ciudadano-Manalaysay</w:t>
      </w:r>
      <w:proofErr w:type="spellEnd"/>
      <w:r w:rsidR="00401301">
        <w:rPr>
          <w:rFonts w:ascii="Times New Roman" w:hAnsi="Times New Roman" w:cs="Times New Roman"/>
          <w:sz w:val="24"/>
          <w:szCs w:val="24"/>
        </w:rPr>
        <w:t>, MD</w:t>
      </w:r>
      <w:r w:rsidRPr="0030796A">
        <w:rPr>
          <w:rFonts w:ascii="Times New Roman" w:hAnsi="Times New Roman" w:cs="Times New Roman"/>
          <w:sz w:val="24"/>
          <w:szCs w:val="24"/>
        </w:rPr>
        <w:t xml:space="preserve"> </w:t>
      </w:r>
      <w:r w:rsidR="00401301">
        <w:rPr>
          <w:rFonts w:ascii="Times New Roman" w:hAnsi="Times New Roman" w:cs="Times New Roman"/>
          <w:sz w:val="24"/>
          <w:szCs w:val="24"/>
        </w:rPr>
        <w:t xml:space="preserve">and </w:t>
      </w:r>
      <w:r w:rsidRPr="0030796A">
        <w:rPr>
          <w:rFonts w:ascii="Times New Roman" w:hAnsi="Times New Roman" w:cs="Times New Roman"/>
          <w:sz w:val="24"/>
          <w:szCs w:val="24"/>
        </w:rPr>
        <w:t xml:space="preserve">Trisha Michelle V.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Manalaysay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>, MD</w:t>
      </w:r>
      <w:r w:rsidR="00401301">
        <w:rPr>
          <w:rFonts w:ascii="Times New Roman" w:hAnsi="Times New Roman" w:cs="Times New Roman"/>
          <w:sz w:val="24"/>
          <w:szCs w:val="24"/>
        </w:rPr>
        <w:br/>
      </w:r>
      <w:bookmarkStart w:id="0" w:name="_GoBack"/>
      <w:bookmarkEnd w:id="0"/>
      <w:r w:rsidRPr="0030796A">
        <w:rPr>
          <w:rFonts w:ascii="Times New Roman" w:hAnsi="Times New Roman" w:cs="Times New Roman"/>
          <w:sz w:val="24"/>
          <w:szCs w:val="24"/>
        </w:rPr>
        <w:t>Southern Philippines Medical Center, Philippines</w:t>
      </w:r>
    </w:p>
    <w:p w14:paraId="216EF1F2" w14:textId="2F22BA32" w:rsidR="00AE3E37" w:rsidRPr="0030796A" w:rsidRDefault="00AE3E37" w:rsidP="0030796A">
      <w:pPr>
        <w:pStyle w:val="BodyText"/>
        <w:spacing w:before="3"/>
        <w:rPr>
          <w:rFonts w:ascii="Times New Roman" w:hAnsi="Times New Roman" w:cs="Times New Roman"/>
          <w:sz w:val="24"/>
          <w:szCs w:val="24"/>
        </w:rPr>
      </w:pPr>
    </w:p>
    <w:p w14:paraId="3844843E" w14:textId="77777777" w:rsidR="00AE3E37" w:rsidRPr="0030796A" w:rsidRDefault="00AE3E37" w:rsidP="0030796A">
      <w:pPr>
        <w:rPr>
          <w:rFonts w:ascii="Times New Roman" w:hAnsi="Times New Roman" w:cs="Times New Roman"/>
          <w:sz w:val="24"/>
          <w:szCs w:val="24"/>
        </w:rPr>
        <w:sectPr w:rsidR="00AE3E37" w:rsidRPr="0030796A" w:rsidSect="0030796A">
          <w:headerReference w:type="default" r:id="rId8"/>
          <w:footerReference w:type="default" r:id="rId9"/>
          <w:type w:val="continuous"/>
          <w:pgSz w:w="11910" w:h="16840"/>
          <w:pgMar w:top="1740" w:right="840" w:bottom="840" w:left="990" w:header="541" w:footer="642" w:gutter="0"/>
          <w:cols w:space="720"/>
        </w:sectPr>
      </w:pPr>
    </w:p>
    <w:p w14:paraId="37920242" w14:textId="4087E06E" w:rsidR="00AE3E37" w:rsidRPr="0030796A" w:rsidRDefault="00A9710C" w:rsidP="0030796A">
      <w:pPr>
        <w:pStyle w:val="Heading3"/>
        <w:spacing w:before="147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0F1BD679" w14:textId="1CCB44B2" w:rsidR="00F85451" w:rsidRDefault="00F85451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Aim:</w:t>
      </w:r>
      <w:r w:rsidRPr="0030796A">
        <w:rPr>
          <w:rFonts w:ascii="Times New Roman" w:hAnsi="Times New Roman" w:cs="Times New Roman"/>
          <w:sz w:val="24"/>
          <w:szCs w:val="24"/>
        </w:rPr>
        <w:t xml:space="preserve"> This study aimed to validate if the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Thamer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 Risk Scoring Tool is a significant predictor in determining risk of early mortality among elderly patients initiated on dialysis in a tertiary hospital in Davao City, Philippines.</w:t>
      </w:r>
    </w:p>
    <w:p w14:paraId="47878B68" w14:textId="77777777" w:rsidR="0030796A" w:rsidRPr="0030796A" w:rsidRDefault="0030796A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14:paraId="39FFA5CA" w14:textId="79211A29" w:rsidR="00F85451" w:rsidRDefault="00F85451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Background:</w:t>
      </w:r>
      <w:r w:rsidRPr="0030796A">
        <w:rPr>
          <w:rFonts w:ascii="Times New Roman" w:hAnsi="Times New Roman" w:cs="Times New Roman"/>
          <w:sz w:val="24"/>
          <w:szCs w:val="24"/>
        </w:rPr>
        <w:t xml:space="preserve"> The increase in the senior population is one of the factors that </w:t>
      </w:r>
      <w:proofErr w:type="gramStart"/>
      <w:r w:rsidRPr="0030796A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contributed to the rise in the number of dialysis patients in the Philippines. The elderly generally has an increased risk for poor dialysis-associated outcomes, and studies have been conflicting if they have better survival with dialysis as compared to conservative management. The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Thamer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 Risk Scoring tool uses simple variables to predict early mortality in these </w:t>
      </w:r>
      <w:proofErr w:type="gramStart"/>
      <w:r w:rsidRPr="0030796A">
        <w:rPr>
          <w:rFonts w:ascii="Times New Roman" w:hAnsi="Times New Roman" w:cs="Times New Roman"/>
          <w:sz w:val="24"/>
          <w:szCs w:val="24"/>
        </w:rPr>
        <w:t>patients,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however this has not been validated in the Philippine setting. </w:t>
      </w:r>
    </w:p>
    <w:p w14:paraId="35FC0267" w14:textId="77777777" w:rsidR="0030796A" w:rsidRPr="0030796A" w:rsidRDefault="0030796A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14:paraId="1F881B50" w14:textId="1C5C6573" w:rsidR="00F85451" w:rsidRDefault="00F85451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Methods:</w:t>
      </w:r>
      <w:r w:rsidRPr="0030796A">
        <w:rPr>
          <w:rFonts w:ascii="Times New Roman" w:hAnsi="Times New Roman" w:cs="Times New Roman"/>
          <w:sz w:val="24"/>
          <w:szCs w:val="24"/>
        </w:rPr>
        <w:t xml:space="preserve"> A retrospective cohort research design was used. </w:t>
      </w:r>
      <w:proofErr w:type="gramStart"/>
      <w:r w:rsidRPr="0030796A">
        <w:rPr>
          <w:rFonts w:ascii="Times New Roman" w:hAnsi="Times New Roman" w:cs="Times New Roman"/>
          <w:sz w:val="24"/>
          <w:szCs w:val="24"/>
        </w:rPr>
        <w:t>Patients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≥ 60 years old, diagnosed with end-stage renal disease, and initiated on dialysis from 2018 to 2021 were subjected to the tool to predict 3-month, 6-month, and over-all mortality after dialysis initiation.</w:t>
      </w:r>
      <w:r w:rsidR="00A7438C" w:rsidRPr="003079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7438C" w:rsidRPr="0030796A">
        <w:rPr>
          <w:rFonts w:ascii="Times New Roman" w:hAnsi="Times New Roman" w:cs="Times New Roman"/>
          <w:sz w:val="24"/>
          <w:szCs w:val="24"/>
        </w:rPr>
        <w:t>Patients with &lt;90 days dialysis duration, recovery of kidney function, and incomplete data to meet all the variables for the tool were excluded.</w:t>
      </w:r>
      <w:proofErr w:type="gramEnd"/>
    </w:p>
    <w:p w14:paraId="1FF4F94B" w14:textId="77777777" w:rsidR="0030796A" w:rsidRPr="0030796A" w:rsidRDefault="0030796A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14:paraId="438C993D" w14:textId="77777777" w:rsidR="00F85451" w:rsidRDefault="00F85451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Results:</w:t>
      </w:r>
      <w:r w:rsidRPr="0030796A">
        <w:rPr>
          <w:rFonts w:ascii="Times New Roman" w:hAnsi="Times New Roman" w:cs="Times New Roman"/>
          <w:sz w:val="24"/>
          <w:szCs w:val="24"/>
        </w:rPr>
        <w:t xml:space="preserve"> In comparison to the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Thamer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 study with an AUROC = 0.691 for the tool in their validation cohort, this study showed an AUROC = 0.6245, 0.2847, and 0.5993 in the 3-month, 6-month, and over-all mortality groups respectively. As the score increased for the three groups, the tool became less sensitive and more specific with a concomitant increase in accuracy for predicting mortality.</w:t>
      </w:r>
    </w:p>
    <w:p w14:paraId="140C7DDA" w14:textId="77777777" w:rsidR="0030796A" w:rsidRPr="0030796A" w:rsidRDefault="0030796A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14:paraId="06097FC2" w14:textId="77777777" w:rsidR="0030796A" w:rsidRDefault="00F85451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Conclusion:</w:t>
      </w:r>
      <w:r w:rsidRPr="0030796A">
        <w:rPr>
          <w:rFonts w:ascii="Times New Roman" w:hAnsi="Times New Roman" w:cs="Times New Roman"/>
          <w:sz w:val="24"/>
          <w:szCs w:val="24"/>
        </w:rPr>
        <w:t xml:space="preserve"> </w:t>
      </w:r>
      <w:r w:rsidR="00A7438C" w:rsidRPr="0030796A">
        <w:rPr>
          <w:rFonts w:ascii="Times New Roman" w:hAnsi="Times New Roman" w:cs="Times New Roman"/>
          <w:sz w:val="24"/>
          <w:szCs w:val="24"/>
        </w:rPr>
        <w:t xml:space="preserve">Despite the poor performance of the tool in predicting mortality in terms of AUROC in this study, the sensitivity, and specificity had a similar performance in the </w:t>
      </w:r>
      <w:proofErr w:type="spellStart"/>
      <w:r w:rsidR="00A7438C" w:rsidRPr="0030796A">
        <w:rPr>
          <w:rFonts w:ascii="Times New Roman" w:hAnsi="Times New Roman" w:cs="Times New Roman"/>
          <w:sz w:val="24"/>
          <w:szCs w:val="24"/>
        </w:rPr>
        <w:t>Thamer</w:t>
      </w:r>
      <w:proofErr w:type="spellEnd"/>
      <w:r w:rsidR="00A7438C" w:rsidRPr="0030796A">
        <w:rPr>
          <w:rFonts w:ascii="Times New Roman" w:hAnsi="Times New Roman" w:cs="Times New Roman"/>
          <w:sz w:val="24"/>
          <w:szCs w:val="24"/>
        </w:rPr>
        <w:t xml:space="preserve"> study. Furthermore, the consistent </w:t>
      </w:r>
      <w:proofErr w:type="gramStart"/>
      <w:r w:rsidR="00A7438C" w:rsidRPr="0030796A">
        <w:rPr>
          <w:rFonts w:ascii="Times New Roman" w:hAnsi="Times New Roman" w:cs="Times New Roman"/>
          <w:sz w:val="24"/>
          <w:szCs w:val="24"/>
        </w:rPr>
        <w:t>trend of accuracy of predicting mortality in these groups reflect</w:t>
      </w:r>
      <w:proofErr w:type="gramEnd"/>
      <w:r w:rsidR="00A7438C" w:rsidRPr="0030796A">
        <w:rPr>
          <w:rFonts w:ascii="Times New Roman" w:hAnsi="Times New Roman" w:cs="Times New Roman"/>
          <w:sz w:val="24"/>
          <w:szCs w:val="24"/>
        </w:rPr>
        <w:t xml:space="preserve"> that a higher score portends to a higher accuracy in predicting mortality.</w:t>
      </w:r>
    </w:p>
    <w:p w14:paraId="3E44D23D" w14:textId="77777777" w:rsidR="0030796A" w:rsidRDefault="0030796A" w:rsidP="00D4509E">
      <w:pPr>
        <w:pStyle w:val="BodyText"/>
        <w:spacing w:before="90"/>
        <w:jc w:val="both"/>
        <w:rPr>
          <w:rFonts w:ascii="Times New Roman" w:hAnsi="Times New Roman" w:cs="Times New Roman"/>
          <w:sz w:val="24"/>
          <w:szCs w:val="24"/>
        </w:rPr>
      </w:pPr>
    </w:p>
    <w:p w14:paraId="32C6F1C0" w14:textId="2C177BE3" w:rsidR="00AE3E37" w:rsidRPr="0030796A" w:rsidRDefault="0030796A" w:rsidP="00D4509E">
      <w:pPr>
        <w:pStyle w:val="BodyText"/>
        <w:spacing w:before="2"/>
        <w:jc w:val="center"/>
        <w:rPr>
          <w:rFonts w:ascii="Times New Roman" w:hAnsi="Times New Roman" w:cs="Times New Roman"/>
          <w:noProof/>
          <w:sz w:val="24"/>
          <w:szCs w:val="24"/>
          <w:lang w:val="en-IN" w:eastAsia="en-IN"/>
        </w:rPr>
      </w:pPr>
      <w:r w:rsidRPr="0030796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9512B5" wp14:editId="437D3F2C">
            <wp:extent cx="2448220" cy="179171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0049" cy="17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6F9C6" w14:textId="7076E9D6" w:rsidR="0030796A" w:rsidRPr="0030796A" w:rsidRDefault="0030796A" w:rsidP="00D4509E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0796A">
        <w:rPr>
          <w:rFonts w:ascii="Times New Roman" w:hAnsi="Times New Roman" w:cs="Times New Roman"/>
          <w:b/>
          <w:sz w:val="24"/>
          <w:szCs w:val="24"/>
        </w:rPr>
        <w:t>Figure 1.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0796A">
        <w:rPr>
          <w:rFonts w:ascii="Times New Roman" w:hAnsi="Times New Roman" w:cs="Times New Roman"/>
          <w:sz w:val="24"/>
          <w:szCs w:val="24"/>
        </w:rPr>
        <w:t>Area under the ROC curve of Risk prediction tool to predict 3</w:t>
      </w:r>
      <w:r w:rsidRPr="0030796A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30796A">
        <w:rPr>
          <w:rFonts w:ascii="Times New Roman" w:hAnsi="Times New Roman" w:cs="Times New Roman"/>
          <w:sz w:val="24"/>
          <w:szCs w:val="24"/>
        </w:rPr>
        <w:t xml:space="preserve"> month mortality</w:t>
      </w:r>
      <w:r w:rsidRPr="0030796A">
        <w:rPr>
          <w:rFonts w:ascii="Times New Roman" w:hAnsi="Times New Roman" w:cs="Times New Roman"/>
          <w:b/>
          <w:noProof/>
          <w:color w:val="BF5A14"/>
          <w:sz w:val="24"/>
          <w:szCs w:val="24"/>
        </w:rPr>
        <w:lastRenderedPageBreak/>
        <w:drawing>
          <wp:inline distT="0" distB="0" distL="0" distR="0" wp14:anchorId="27970EED" wp14:editId="673D4BD5">
            <wp:extent cx="2583060" cy="1919300"/>
            <wp:effectExtent l="0" t="0" r="8255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45" cy="191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br/>
      </w:r>
      <w:r w:rsidRPr="0030796A">
        <w:rPr>
          <w:rFonts w:ascii="Times New Roman" w:hAnsi="Times New Roman" w:cs="Times New Roman"/>
          <w:b/>
          <w:sz w:val="24"/>
          <w:szCs w:val="24"/>
        </w:rPr>
        <w:t>Figure 2.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</w:t>
      </w:r>
      <w:r w:rsidRPr="0030796A">
        <w:rPr>
          <w:rFonts w:ascii="Times New Roman" w:hAnsi="Times New Roman" w:cs="Times New Roman"/>
          <w:sz w:val="24"/>
          <w:szCs w:val="24"/>
        </w:rPr>
        <w:t xml:space="preserve">Area under the ROC curve of Risk prediction tool to predict </w:t>
      </w:r>
      <w:r w:rsidRPr="0030796A">
        <w:rPr>
          <w:rFonts w:ascii="Times New Roman" w:hAnsi="Times New Roman" w:cs="Times New Roman"/>
          <w:sz w:val="24"/>
          <w:szCs w:val="24"/>
        </w:rPr>
        <w:t xml:space="preserve">6th </w:t>
      </w:r>
      <w:r w:rsidRPr="0030796A">
        <w:rPr>
          <w:rFonts w:ascii="Times New Roman" w:hAnsi="Times New Roman" w:cs="Times New Roman"/>
          <w:sz w:val="24"/>
          <w:szCs w:val="24"/>
        </w:rPr>
        <w:t>month mortality</w:t>
      </w:r>
    </w:p>
    <w:p w14:paraId="38C876C2" w14:textId="77777777" w:rsidR="0030796A" w:rsidRPr="0030796A" w:rsidRDefault="0030796A" w:rsidP="00D4509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0315612" w14:textId="281097D3" w:rsidR="00F85451" w:rsidRPr="0030796A" w:rsidRDefault="00A7438C" w:rsidP="00D4509E">
      <w:pPr>
        <w:jc w:val="center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30796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EA6B687" wp14:editId="18437F4A">
            <wp:extent cx="2557964" cy="185737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01" cy="185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F60B" w14:textId="2CAE4010" w:rsidR="00F85451" w:rsidRPr="0030796A" w:rsidRDefault="0030796A" w:rsidP="00D450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0796A">
        <w:rPr>
          <w:rFonts w:ascii="Times New Roman" w:hAnsi="Times New Roman" w:cs="Times New Roman"/>
          <w:b/>
          <w:sz w:val="24"/>
          <w:szCs w:val="24"/>
        </w:rPr>
        <w:t>Figure 3</w:t>
      </w:r>
      <w:r w:rsidRPr="0030796A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30796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796A">
        <w:rPr>
          <w:rFonts w:ascii="Times New Roman" w:hAnsi="Times New Roman" w:cs="Times New Roman"/>
          <w:sz w:val="24"/>
          <w:szCs w:val="24"/>
        </w:rPr>
        <w:t xml:space="preserve">Area under the ROC curve of Risk prediction tool to predict </w:t>
      </w:r>
      <w:r w:rsidRPr="0030796A">
        <w:rPr>
          <w:rFonts w:ascii="Times New Roman" w:hAnsi="Times New Roman" w:cs="Times New Roman"/>
          <w:sz w:val="24"/>
          <w:szCs w:val="24"/>
        </w:rPr>
        <w:t>overall</w:t>
      </w:r>
      <w:r w:rsidRPr="0030796A">
        <w:rPr>
          <w:rFonts w:ascii="Times New Roman" w:hAnsi="Times New Roman" w:cs="Times New Roman"/>
          <w:sz w:val="24"/>
          <w:szCs w:val="24"/>
        </w:rPr>
        <w:t xml:space="preserve"> mortality</w:t>
      </w:r>
    </w:p>
    <w:p w14:paraId="7F2B9B2C" w14:textId="08B65856" w:rsidR="00F85451" w:rsidRPr="0030796A" w:rsidRDefault="00F85451" w:rsidP="00D4509E">
      <w:pPr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07C0317C" w14:textId="39BD23BB" w:rsidR="00F85451" w:rsidRPr="0030796A" w:rsidRDefault="00F85451" w:rsidP="00D4509E">
      <w:pPr>
        <w:rPr>
          <w:rFonts w:ascii="Times New Roman" w:hAnsi="Times New Roman" w:cs="Times New Roman"/>
          <w:b/>
          <w:color w:val="BF5A14"/>
          <w:sz w:val="24"/>
          <w:szCs w:val="24"/>
        </w:rPr>
      </w:pPr>
    </w:p>
    <w:p w14:paraId="7E835269" w14:textId="413FCBCF" w:rsidR="0030796A" w:rsidRDefault="0030796A" w:rsidP="00D4509E">
      <w:pPr>
        <w:rPr>
          <w:rFonts w:ascii="Times New Roman" w:hAnsi="Times New Roman" w:cs="Times New Roman"/>
          <w:b/>
          <w:sz w:val="24"/>
          <w:szCs w:val="24"/>
        </w:rPr>
      </w:pPr>
      <w:r w:rsidRPr="0030796A">
        <w:rPr>
          <w:rFonts w:ascii="Times New Roman" w:hAnsi="Times New Roman" w:cs="Times New Roman"/>
          <w:b/>
          <w:sz w:val="24"/>
          <w:szCs w:val="24"/>
        </w:rPr>
        <w:t>Recent Publications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14:paraId="093A9261" w14:textId="0EFD8EF8" w:rsidR="00F85451" w:rsidRPr="0030796A" w:rsidRDefault="00F85451" w:rsidP="00E95616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0796A">
        <w:rPr>
          <w:rFonts w:ascii="Times New Roman" w:hAnsi="Times New Roman" w:cs="Times New Roman"/>
          <w:sz w:val="24"/>
          <w:szCs w:val="24"/>
        </w:rPr>
        <w:t>Thamer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M., Kaufman, J. S., Zhang, Y., &amp; Zhang, Q. (2015, December). Predicting Early Death </w:t>
      </w:r>
      <w:proofErr w:type="gramStart"/>
      <w:r w:rsidRPr="0030796A">
        <w:rPr>
          <w:rFonts w:ascii="Times New Roman" w:hAnsi="Times New Roman" w:cs="Times New Roman"/>
          <w:sz w:val="24"/>
          <w:szCs w:val="24"/>
        </w:rPr>
        <w:t>Among</w:t>
      </w:r>
      <w:proofErr w:type="gramEnd"/>
      <w:r w:rsidRPr="0030796A">
        <w:rPr>
          <w:rFonts w:ascii="Times New Roman" w:hAnsi="Times New Roman" w:cs="Times New Roman"/>
          <w:sz w:val="24"/>
          <w:szCs w:val="24"/>
        </w:rPr>
        <w:t xml:space="preserve"> Elderly Dialysis Patients: Development and Validation of a Risk Score to Assist Shared Decision Making for Dialysis Initiation. American Journal of Kidney Disease, 66(6), 1024-1032. doi:10.1053/j.ajkd.2015.05.014</w:t>
      </w:r>
    </w:p>
    <w:p w14:paraId="3DEEE868" w14:textId="4FAA7CDD" w:rsidR="00607C34" w:rsidRPr="0030796A" w:rsidRDefault="00607C34" w:rsidP="00E95616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38"/>
        <w:rPr>
          <w:rFonts w:ascii="Times New Roman" w:hAnsi="Times New Roman" w:cs="Times New Roman"/>
          <w:sz w:val="24"/>
          <w:szCs w:val="24"/>
        </w:rPr>
      </w:pPr>
      <w:r w:rsidRPr="0030796A">
        <w:rPr>
          <w:rFonts w:ascii="Times New Roman" w:hAnsi="Times New Roman" w:cs="Times New Roman"/>
          <w:sz w:val="24"/>
          <w:szCs w:val="24"/>
        </w:rPr>
        <w:t>Philippine Renal Disease Registry: PRDR Annual Report, Renal Disease Control Program (REDCOP), National Kidney and Transplant Institute (NKTI) and Epidemiology Bureau (EB) of the Department of Health (DOH), 2016</w:t>
      </w:r>
    </w:p>
    <w:p w14:paraId="20224A76" w14:textId="5A80959E" w:rsidR="005973B9" w:rsidRPr="0030796A" w:rsidRDefault="00607C34" w:rsidP="00E95616">
      <w:pPr>
        <w:pStyle w:val="ListParagraph"/>
        <w:numPr>
          <w:ilvl w:val="0"/>
          <w:numId w:val="5"/>
        </w:numPr>
        <w:tabs>
          <w:tab w:val="left" w:pos="384"/>
        </w:tabs>
        <w:spacing w:line="240" w:lineRule="auto"/>
        <w:ind w:right="138"/>
        <w:rPr>
          <w:rFonts w:ascii="Times New Roman" w:hAnsi="Times New Roman" w:cs="Times New Roman"/>
          <w:sz w:val="24"/>
          <w:szCs w:val="24"/>
        </w:rPr>
      </w:pPr>
      <w:proofErr w:type="spellStart"/>
      <w:r w:rsidRPr="0030796A">
        <w:rPr>
          <w:rFonts w:ascii="Times New Roman" w:hAnsi="Times New Roman" w:cs="Times New Roman"/>
          <w:sz w:val="24"/>
          <w:szCs w:val="24"/>
        </w:rPr>
        <w:t>Goto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N. A., van Loon, I. N.,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Morpey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M. I.,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Verhaar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M. C., Willems, H. C.,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Emmelot-Vonk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M. H., . . .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Hamaker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>, M. E. (2019). Geriatric Assessment in Elderly Patients with End-Stage Kidney Disease. Nephron, 141, 41-48. doi:10.1159/000494222</w:t>
      </w:r>
    </w:p>
    <w:p w14:paraId="6E5EDB4F" w14:textId="28C1906A" w:rsidR="00607C34" w:rsidRPr="0030796A" w:rsidRDefault="00607C34" w:rsidP="00E95616">
      <w:pPr>
        <w:pStyle w:val="ListParagraph"/>
        <w:numPr>
          <w:ilvl w:val="0"/>
          <w:numId w:val="5"/>
        </w:numPr>
        <w:tabs>
          <w:tab w:val="left" w:pos="384"/>
        </w:tabs>
        <w:spacing w:before="92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30796A">
        <w:rPr>
          <w:rFonts w:ascii="Times New Roman" w:hAnsi="Times New Roman" w:cs="Times New Roman"/>
          <w:sz w:val="24"/>
          <w:szCs w:val="24"/>
        </w:rPr>
        <w:t>Relampagos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 xml:space="preserve">, P. C., &amp; </w:t>
      </w:r>
      <w:proofErr w:type="spellStart"/>
      <w:r w:rsidRPr="0030796A">
        <w:rPr>
          <w:rFonts w:ascii="Times New Roman" w:hAnsi="Times New Roman" w:cs="Times New Roman"/>
          <w:sz w:val="24"/>
          <w:szCs w:val="24"/>
        </w:rPr>
        <w:t>Togonon-Leano</w:t>
      </w:r>
      <w:proofErr w:type="spellEnd"/>
      <w:r w:rsidRPr="0030796A">
        <w:rPr>
          <w:rFonts w:ascii="Times New Roman" w:hAnsi="Times New Roman" w:cs="Times New Roman"/>
          <w:sz w:val="24"/>
          <w:szCs w:val="24"/>
        </w:rPr>
        <w:t>, J. I. (2019). Risk factors for early mortality among elderly Filipino patients with Indications for Initiation of Hemodialysis: A comparative study.</w:t>
      </w:r>
    </w:p>
    <w:p w14:paraId="091C01B4" w14:textId="77777777" w:rsidR="0030796A" w:rsidRPr="0030796A" w:rsidRDefault="00607C34" w:rsidP="00E95616">
      <w:pPr>
        <w:pStyle w:val="ListParagraph"/>
        <w:numPr>
          <w:ilvl w:val="0"/>
          <w:numId w:val="5"/>
        </w:numPr>
        <w:tabs>
          <w:tab w:val="left" w:pos="384"/>
        </w:tabs>
        <w:spacing w:before="92" w:line="240" w:lineRule="auto"/>
        <w:rPr>
          <w:rFonts w:ascii="Times New Roman" w:hAnsi="Times New Roman" w:cs="Times New Roman"/>
          <w:color w:val="BF5A14"/>
          <w:sz w:val="24"/>
          <w:szCs w:val="24"/>
        </w:rPr>
      </w:pPr>
      <w:r w:rsidRPr="0030796A">
        <w:rPr>
          <w:rFonts w:ascii="Times New Roman" w:hAnsi="Times New Roman" w:cs="Times New Roman"/>
          <w:sz w:val="24"/>
          <w:szCs w:val="24"/>
        </w:rPr>
        <w:t>Ahmed, F. A., &amp; Georgia, C. A. (2019). Decision-Making in Geriatric Patients with End-Stage Renal Disease: Thinking Beyond Nephrology. Journal of Clinical Medicine, 8(1), 5. doi:10.3390/jcm8010005</w:t>
      </w:r>
    </w:p>
    <w:p w14:paraId="5857D7D1" w14:textId="0B4079A8" w:rsidR="00AE3E37" w:rsidRPr="0030796A" w:rsidRDefault="0030796A" w:rsidP="00D4509E">
      <w:pPr>
        <w:tabs>
          <w:tab w:val="left" w:pos="384"/>
        </w:tabs>
        <w:spacing w:before="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BF5A14"/>
          <w:sz w:val="24"/>
          <w:szCs w:val="24"/>
        </w:rPr>
        <w:br/>
      </w:r>
      <w:r w:rsidR="00A9710C" w:rsidRPr="0030796A">
        <w:rPr>
          <w:rFonts w:ascii="Times New Roman" w:hAnsi="Times New Roman" w:cs="Times New Roman"/>
          <w:b/>
          <w:sz w:val="24"/>
          <w:szCs w:val="24"/>
        </w:rPr>
        <w:t>Biography</w:t>
      </w:r>
      <w:r w:rsidR="00695B26">
        <w:rPr>
          <w:rFonts w:ascii="Times New Roman" w:hAnsi="Times New Roman" w:cs="Times New Roman"/>
          <w:b/>
          <w:sz w:val="24"/>
          <w:szCs w:val="24"/>
        </w:rPr>
        <w:br/>
      </w:r>
      <w:r w:rsidR="00695B26">
        <w:rPr>
          <w:rFonts w:ascii="Times New Roman" w:hAnsi="Times New Roman" w:cs="Times New Roman"/>
          <w:b/>
          <w:sz w:val="24"/>
          <w:szCs w:val="24"/>
        </w:rPr>
        <w:br/>
      </w:r>
      <w:r w:rsidR="00A9710C" w:rsidRPr="00695B26">
        <w:rPr>
          <w:rFonts w:ascii="Times New Roman" w:hAnsi="Times New Roman" w:cs="Times New Roman"/>
          <w:sz w:val="24"/>
          <w:szCs w:val="24"/>
        </w:rPr>
        <w:t>D</w:t>
      </w:r>
      <w:r w:rsidR="0078738A" w:rsidRPr="00695B26">
        <w:rPr>
          <w:rFonts w:ascii="Times New Roman" w:hAnsi="Times New Roman" w:cs="Times New Roman"/>
          <w:sz w:val="24"/>
          <w:szCs w:val="24"/>
        </w:rPr>
        <w:t>r</w:t>
      </w:r>
      <w:r w:rsidR="00607C34" w:rsidRPr="00695B26">
        <w:rPr>
          <w:rFonts w:ascii="Times New Roman" w:hAnsi="Times New Roman" w:cs="Times New Roman"/>
          <w:sz w:val="24"/>
          <w:szCs w:val="24"/>
        </w:rPr>
        <w:t xml:space="preserve">. Rachelle </w:t>
      </w:r>
      <w:proofErr w:type="spellStart"/>
      <w:r w:rsidR="00607C34" w:rsidRPr="00695B26">
        <w:rPr>
          <w:rFonts w:ascii="Times New Roman" w:hAnsi="Times New Roman" w:cs="Times New Roman"/>
          <w:sz w:val="24"/>
          <w:szCs w:val="24"/>
        </w:rPr>
        <w:t>Zolla</w:t>
      </w:r>
      <w:proofErr w:type="spellEnd"/>
      <w:r w:rsidR="00607C34" w:rsidRPr="00695B26">
        <w:rPr>
          <w:rFonts w:ascii="Times New Roman" w:hAnsi="Times New Roman" w:cs="Times New Roman"/>
          <w:sz w:val="24"/>
          <w:szCs w:val="24"/>
        </w:rPr>
        <w:t xml:space="preserve"> S. </w:t>
      </w:r>
      <w:proofErr w:type="spellStart"/>
      <w:r w:rsidR="00607C34" w:rsidRPr="00695B26">
        <w:rPr>
          <w:rFonts w:ascii="Times New Roman" w:hAnsi="Times New Roman" w:cs="Times New Roman"/>
          <w:sz w:val="24"/>
          <w:szCs w:val="24"/>
        </w:rPr>
        <w:t>Ciudadano-Manalaysay</w:t>
      </w:r>
      <w:proofErr w:type="spellEnd"/>
      <w:r w:rsidR="00607C34" w:rsidRPr="00695B26">
        <w:rPr>
          <w:rFonts w:ascii="Times New Roman" w:hAnsi="Times New Roman" w:cs="Times New Roman"/>
          <w:sz w:val="24"/>
          <w:szCs w:val="24"/>
        </w:rPr>
        <w:t xml:space="preserve"> is a young nephrologist who was trained in Davao City, Philippines. Her interests include dialysis, renal transplantation, critical care nephrology and glomerular diseases</w:t>
      </w:r>
      <w:r w:rsidR="00A9710C" w:rsidRPr="00695B26">
        <w:rPr>
          <w:rFonts w:ascii="Times New Roman" w:hAnsi="Times New Roman" w:cs="Times New Roman"/>
          <w:sz w:val="24"/>
          <w:szCs w:val="24"/>
        </w:rPr>
        <w:t>.</w:t>
      </w:r>
    </w:p>
    <w:sectPr w:rsidR="00AE3E37" w:rsidRPr="0030796A" w:rsidSect="00D4509E">
      <w:type w:val="continuous"/>
      <w:pgSz w:w="11910" w:h="16840"/>
      <w:pgMar w:top="1740" w:right="840" w:bottom="840" w:left="99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EADF1C" w14:textId="77777777" w:rsidR="007D2A75" w:rsidRDefault="007D2A75">
      <w:r>
        <w:separator/>
      </w:r>
    </w:p>
  </w:endnote>
  <w:endnote w:type="continuationSeparator" w:id="0">
    <w:p w14:paraId="6DF51F81" w14:textId="77777777" w:rsidR="007D2A75" w:rsidRDefault="007D2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3E1FB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6194553" wp14:editId="728572A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BF42BC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66FE876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1ABF42BC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66FE876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48CEB15" wp14:editId="2D2339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10C9E7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51E944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6E10C9E7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51E944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B713261" wp14:editId="00A6767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FE7CBD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770404F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0DFE7CBD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770404F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CDF07A" w14:textId="77777777" w:rsidR="007D2A75" w:rsidRDefault="007D2A75">
      <w:r>
        <w:separator/>
      </w:r>
    </w:p>
  </w:footnote>
  <w:footnote w:type="continuationSeparator" w:id="0">
    <w:p w14:paraId="45E434DB" w14:textId="77777777" w:rsidR="007D2A75" w:rsidRDefault="007D2A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7846E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08199393" wp14:editId="583F2ADE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1AF0FF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0D1AF0FF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0A5C76E5" wp14:editId="1849E66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1B0B42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78BB2B3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4B1B0B42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78BB2B3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46342"/>
    <w:multiLevelType w:val="hybridMultilevel"/>
    <w:tmpl w:val="BCA24D48"/>
    <w:lvl w:ilvl="0" w:tplc="55309FB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F9E589C"/>
    <w:multiLevelType w:val="hybridMultilevel"/>
    <w:tmpl w:val="64DCDCE8"/>
    <w:lvl w:ilvl="0" w:tplc="55309FB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1E763C"/>
    <w:rsid w:val="00213783"/>
    <w:rsid w:val="00292ED9"/>
    <w:rsid w:val="0030796A"/>
    <w:rsid w:val="00314AFB"/>
    <w:rsid w:val="003B76D9"/>
    <w:rsid w:val="00401301"/>
    <w:rsid w:val="00404E5B"/>
    <w:rsid w:val="00414F7B"/>
    <w:rsid w:val="004355DC"/>
    <w:rsid w:val="004749B4"/>
    <w:rsid w:val="00494130"/>
    <w:rsid w:val="004A0C8F"/>
    <w:rsid w:val="004F3523"/>
    <w:rsid w:val="005973B9"/>
    <w:rsid w:val="005B3A56"/>
    <w:rsid w:val="006060CE"/>
    <w:rsid w:val="00607C34"/>
    <w:rsid w:val="0063497F"/>
    <w:rsid w:val="00695B26"/>
    <w:rsid w:val="0078738A"/>
    <w:rsid w:val="007D2A75"/>
    <w:rsid w:val="00873DF0"/>
    <w:rsid w:val="008756E6"/>
    <w:rsid w:val="009B2D44"/>
    <w:rsid w:val="009F327B"/>
    <w:rsid w:val="00A07E82"/>
    <w:rsid w:val="00A34D6C"/>
    <w:rsid w:val="00A7438C"/>
    <w:rsid w:val="00A9710C"/>
    <w:rsid w:val="00AE3E37"/>
    <w:rsid w:val="00B21A57"/>
    <w:rsid w:val="00C33602"/>
    <w:rsid w:val="00CD6F55"/>
    <w:rsid w:val="00D4509E"/>
    <w:rsid w:val="00D62425"/>
    <w:rsid w:val="00DE3104"/>
    <w:rsid w:val="00E95616"/>
    <w:rsid w:val="00F72EEA"/>
    <w:rsid w:val="00F8136A"/>
    <w:rsid w:val="00F84CAE"/>
    <w:rsid w:val="00F85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CED4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Conference World Chemistry 2021</cp:lastModifiedBy>
  <cp:revision>14</cp:revision>
  <dcterms:created xsi:type="dcterms:W3CDTF">2023-04-20T04:38:00Z</dcterms:created>
  <dcterms:modified xsi:type="dcterms:W3CDTF">2023-04-20T06:30:00Z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