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55181" w14:textId="0337D11F" w:rsidR="005C7573" w:rsidRDefault="005C7573" w:rsidP="00464C8E">
      <w:pPr>
        <w:spacing w:line="320" w:lineRule="exact"/>
        <w:jc w:val="both"/>
        <w:rPr>
          <w:rFonts w:eastAsia="MS Mincho"/>
          <w:b/>
          <w:color w:val="181512"/>
          <w:sz w:val="28"/>
          <w:szCs w:val="28"/>
          <w:lang w:eastAsia="ja-JP"/>
        </w:rPr>
      </w:pPr>
      <w:r w:rsidRPr="003D5496">
        <w:rPr>
          <w:rFonts w:eastAsia="MS Mincho" w:hint="eastAsia"/>
          <w:b/>
          <w:color w:val="181512"/>
          <w:sz w:val="28"/>
          <w:szCs w:val="28"/>
          <w:lang w:eastAsia="ja-JP"/>
        </w:rPr>
        <w:t xml:space="preserve">Title: </w:t>
      </w:r>
      <w:r w:rsidR="00464C8E" w:rsidRPr="00464C8E">
        <w:rPr>
          <w:rFonts w:eastAsia="MS Mincho"/>
          <w:b/>
          <w:color w:val="181512"/>
          <w:sz w:val="28"/>
          <w:szCs w:val="28"/>
          <w:lang w:eastAsia="ja-JP"/>
        </w:rPr>
        <w:t xml:space="preserve">The role </w:t>
      </w:r>
      <w:r w:rsidR="00C125DD" w:rsidRPr="00464C8E">
        <w:rPr>
          <w:rFonts w:eastAsia="MS Mincho"/>
          <w:b/>
          <w:color w:val="181512"/>
          <w:sz w:val="28"/>
          <w:szCs w:val="28"/>
          <w:lang w:eastAsia="ja-JP"/>
        </w:rPr>
        <w:t>of chemotherapy</w:t>
      </w:r>
      <w:r w:rsidR="00464C8E" w:rsidRPr="00464C8E">
        <w:rPr>
          <w:rFonts w:eastAsia="MS Mincho"/>
          <w:b/>
          <w:color w:val="181512"/>
          <w:sz w:val="28"/>
          <w:szCs w:val="28"/>
          <w:lang w:eastAsia="ja-JP"/>
        </w:rPr>
        <w:t xml:space="preserve"> cycles in </w:t>
      </w:r>
      <w:r w:rsidR="00C125DD" w:rsidRPr="00464C8E">
        <w:rPr>
          <w:rFonts w:eastAsia="MS Mincho"/>
          <w:b/>
          <w:color w:val="181512"/>
          <w:sz w:val="28"/>
          <w:szCs w:val="28"/>
          <w:lang w:eastAsia="ja-JP"/>
        </w:rPr>
        <w:t>treatment</w:t>
      </w:r>
      <w:r w:rsidR="00464C8E" w:rsidRPr="00464C8E">
        <w:rPr>
          <w:rFonts w:eastAsia="MS Mincho"/>
          <w:b/>
          <w:color w:val="181512"/>
          <w:sz w:val="28"/>
          <w:szCs w:val="28"/>
          <w:lang w:eastAsia="ja-JP"/>
        </w:rPr>
        <w:t xml:space="preserve"> of gastric cancer should be reinterpreted</w:t>
      </w:r>
    </w:p>
    <w:p w14:paraId="1FE48A2C" w14:textId="77777777" w:rsidR="005D38C9" w:rsidRDefault="005D38C9" w:rsidP="00464C8E">
      <w:pPr>
        <w:spacing w:line="320" w:lineRule="exact"/>
        <w:jc w:val="both"/>
        <w:rPr>
          <w:szCs w:val="36"/>
          <w:lang w:eastAsia="zh-CN"/>
        </w:rPr>
      </w:pPr>
    </w:p>
    <w:p w14:paraId="6F8495DB" w14:textId="77777777" w:rsidR="005C7573" w:rsidRDefault="0027181C" w:rsidP="003D5496">
      <w:pPr>
        <w:spacing w:line="240" w:lineRule="exact"/>
        <w:ind w:right="-1"/>
        <w:jc w:val="both"/>
        <w:rPr>
          <w:rFonts w:eastAsia="Batang"/>
          <w:b/>
          <w:i/>
          <w:color w:val="181512"/>
          <w:lang w:eastAsia="ko-KR"/>
        </w:rPr>
      </w:pPr>
      <w:r w:rsidRPr="003D5496">
        <w:rPr>
          <w:rFonts w:hint="eastAsia"/>
          <w:b/>
          <w:i/>
          <w:color w:val="181512"/>
          <w:lang w:eastAsia="zh-CN"/>
        </w:rPr>
        <w:t xml:space="preserve">Dr. </w:t>
      </w:r>
      <w:bookmarkStart w:id="0" w:name="_GoBack"/>
      <w:proofErr w:type="spellStart"/>
      <w:r w:rsidR="00464C8E">
        <w:rPr>
          <w:rFonts w:eastAsia="Batang"/>
          <w:b/>
          <w:i/>
          <w:color w:val="181512"/>
          <w:lang w:eastAsia="ko-KR"/>
        </w:rPr>
        <w:t>Yifan</w:t>
      </w:r>
      <w:proofErr w:type="spellEnd"/>
      <w:r w:rsidR="00464C8E">
        <w:rPr>
          <w:rFonts w:eastAsia="Batang"/>
          <w:b/>
          <w:i/>
          <w:color w:val="181512"/>
          <w:lang w:eastAsia="ko-KR"/>
        </w:rPr>
        <w:t xml:space="preserve"> Li</w:t>
      </w:r>
      <w:bookmarkEnd w:id="0"/>
    </w:p>
    <w:p w14:paraId="4C75E426" w14:textId="77777777" w:rsidR="00464C8E" w:rsidRDefault="00464C8E" w:rsidP="003D5496">
      <w:pPr>
        <w:spacing w:line="240" w:lineRule="exact"/>
        <w:ind w:right="-1"/>
        <w:jc w:val="both"/>
        <w:rPr>
          <w:b/>
          <w:i/>
          <w:color w:val="181512"/>
          <w:lang w:eastAsia="zh-CN"/>
        </w:rPr>
      </w:pPr>
      <w:r>
        <w:rPr>
          <w:b/>
          <w:i/>
          <w:color w:val="181512"/>
          <w:lang w:eastAsia="zh-CN"/>
        </w:rPr>
        <w:t>Shanxi Province Cancer Hospital</w:t>
      </w:r>
      <w:r w:rsidRPr="00464C8E">
        <w:rPr>
          <w:b/>
          <w:i/>
          <w:color w:val="181512"/>
          <w:lang w:eastAsia="zh-CN"/>
        </w:rPr>
        <w:t xml:space="preserve"> </w:t>
      </w:r>
    </w:p>
    <w:p w14:paraId="61BE6DBA" w14:textId="77777777" w:rsidR="00464C8E" w:rsidRDefault="00464C8E" w:rsidP="003D5496">
      <w:pPr>
        <w:spacing w:line="240" w:lineRule="exact"/>
        <w:ind w:right="-1"/>
        <w:jc w:val="both"/>
        <w:rPr>
          <w:b/>
          <w:i/>
          <w:color w:val="181512"/>
          <w:lang w:eastAsia="zh-CN"/>
        </w:rPr>
      </w:pPr>
      <w:r w:rsidRPr="00464C8E">
        <w:rPr>
          <w:b/>
          <w:i/>
          <w:color w:val="181512"/>
          <w:lang w:eastAsia="zh-CN"/>
        </w:rPr>
        <w:t>Taiyuan, China</w:t>
      </w:r>
    </w:p>
    <w:p w14:paraId="6184764C" w14:textId="77777777" w:rsidR="00464C8E" w:rsidRPr="00464C8E" w:rsidRDefault="00464C8E" w:rsidP="003D5496">
      <w:pPr>
        <w:spacing w:line="240" w:lineRule="exact"/>
        <w:ind w:right="-1"/>
        <w:jc w:val="both"/>
        <w:rPr>
          <w:b/>
          <w:i/>
          <w:color w:val="181512"/>
          <w:lang w:eastAsia="zh-CN"/>
        </w:rPr>
      </w:pPr>
      <w:r>
        <w:rPr>
          <w:b/>
          <w:i/>
          <w:color w:val="181512"/>
          <w:lang w:eastAsia="zh-CN"/>
        </w:rPr>
        <w:t>L</w:t>
      </w:r>
      <w:r>
        <w:rPr>
          <w:rFonts w:hint="eastAsia"/>
          <w:b/>
          <w:i/>
          <w:color w:val="181512"/>
          <w:lang w:eastAsia="zh-CN"/>
        </w:rPr>
        <w:t>yf</w:t>
      </w:r>
      <w:r>
        <w:rPr>
          <w:b/>
          <w:i/>
          <w:color w:val="181512"/>
          <w:lang w:eastAsia="zh-CN"/>
        </w:rPr>
        <w:t>8028@126.com</w:t>
      </w:r>
    </w:p>
    <w:p w14:paraId="31BB39DF" w14:textId="77777777" w:rsidR="00BA38DB" w:rsidRPr="00464C8E" w:rsidRDefault="00BA38DB" w:rsidP="003D5496">
      <w:pPr>
        <w:autoSpaceDE w:val="0"/>
        <w:autoSpaceDN w:val="0"/>
        <w:adjustRightInd w:val="0"/>
        <w:spacing w:line="240" w:lineRule="exact"/>
        <w:ind w:right="-1"/>
        <w:jc w:val="both"/>
        <w:rPr>
          <w:b/>
          <w:i/>
          <w:color w:val="181512"/>
          <w:sz w:val="16"/>
          <w:szCs w:val="16"/>
          <w:lang w:eastAsia="zh-CN"/>
        </w:rPr>
      </w:pPr>
    </w:p>
    <w:p w14:paraId="76A7E7F1" w14:textId="77777777" w:rsidR="00464C8E" w:rsidRPr="00464C8E" w:rsidRDefault="00BA38DB" w:rsidP="003D5496">
      <w:pPr>
        <w:autoSpaceDE w:val="0"/>
        <w:autoSpaceDN w:val="0"/>
        <w:adjustRightInd w:val="0"/>
        <w:spacing w:line="240" w:lineRule="exact"/>
        <w:ind w:right="-1"/>
        <w:jc w:val="both"/>
        <w:rPr>
          <w:rFonts w:eastAsia="Times New Roman"/>
          <w:b/>
          <w:i/>
          <w:color w:val="181512"/>
          <w:sz w:val="24"/>
          <w:szCs w:val="24"/>
        </w:rPr>
      </w:pPr>
      <w:r w:rsidRPr="00AD5297">
        <w:rPr>
          <w:rFonts w:eastAsia="Times New Roman"/>
          <w:b/>
          <w:i/>
          <w:color w:val="181512"/>
          <w:sz w:val="24"/>
          <w:szCs w:val="24"/>
        </w:rPr>
        <w:t>Abstract</w:t>
      </w:r>
    </w:p>
    <w:p w14:paraId="2279F0C7" w14:textId="77777777" w:rsidR="00BA38DB" w:rsidRPr="00147F9C" w:rsidRDefault="00AD5297" w:rsidP="00AD5297">
      <w:pPr>
        <w:tabs>
          <w:tab w:val="left" w:pos="2894"/>
        </w:tabs>
        <w:autoSpaceDE w:val="0"/>
        <w:autoSpaceDN w:val="0"/>
        <w:adjustRightInd w:val="0"/>
        <w:spacing w:line="240" w:lineRule="exact"/>
        <w:jc w:val="both"/>
        <w:rPr>
          <w:color w:val="181512"/>
          <w:sz w:val="16"/>
          <w:szCs w:val="16"/>
          <w:lang w:eastAsia="zh-CN"/>
        </w:rPr>
      </w:pPr>
      <w:r>
        <w:rPr>
          <w:color w:val="181512"/>
          <w:sz w:val="16"/>
          <w:szCs w:val="16"/>
          <w:lang w:eastAsia="zh-CN"/>
        </w:rPr>
        <w:tab/>
      </w:r>
    </w:p>
    <w:p w14:paraId="3B16CF3F" w14:textId="5CE3F92C" w:rsidR="00464C8E" w:rsidRPr="00464C8E" w:rsidRDefault="00464C8E" w:rsidP="00464C8E">
      <w:pPr>
        <w:rPr>
          <w:rFonts w:eastAsia="Times New Roman"/>
          <w:bCs/>
          <w:color w:val="181512"/>
        </w:rPr>
      </w:pPr>
      <w:r w:rsidRPr="00464C8E">
        <w:rPr>
          <w:rFonts w:eastAsia="Times New Roman"/>
          <w:bCs/>
          <w:color w:val="181512"/>
        </w:rPr>
        <w:t xml:space="preserve">We retrospectively reviewed the medical records of patients with pathologically confirmed gastric cancer who underwent curative surgical resection follow-up within 3 years at Shanxi cancer hospital between 2002 and 2020. According to the results of univariate and multivariate analysis by logistic regression showed that TNM </w:t>
      </w:r>
      <w:r w:rsidR="00C125DD" w:rsidRPr="00464C8E">
        <w:rPr>
          <w:rFonts w:eastAsia="Times New Roman"/>
          <w:bCs/>
          <w:color w:val="181512"/>
        </w:rPr>
        <w:t>Stage (</w:t>
      </w:r>
      <w:r w:rsidRPr="00464C8E">
        <w:rPr>
          <w:rFonts w:eastAsia="Times New Roman"/>
          <w:bCs/>
          <w:color w:val="181512"/>
        </w:rPr>
        <w:t xml:space="preserve">P=0.002), chemotherapy </w:t>
      </w:r>
      <w:r w:rsidR="00C125DD" w:rsidRPr="00464C8E">
        <w:rPr>
          <w:rFonts w:eastAsia="Times New Roman"/>
          <w:bCs/>
          <w:color w:val="181512"/>
        </w:rPr>
        <w:t>cycle (</w:t>
      </w:r>
      <w:r w:rsidRPr="00464C8E">
        <w:rPr>
          <w:rFonts w:eastAsia="Times New Roman"/>
          <w:bCs/>
          <w:color w:val="181512"/>
        </w:rPr>
        <w:t xml:space="preserve">P=0.000) were risk factors of </w:t>
      </w:r>
      <w:r w:rsidR="00C125DD" w:rsidRPr="00464C8E">
        <w:rPr>
          <w:rFonts w:eastAsia="Times New Roman"/>
          <w:bCs/>
          <w:color w:val="181512"/>
        </w:rPr>
        <w:t>recurrence of</w:t>
      </w:r>
      <w:r w:rsidRPr="00464C8E">
        <w:rPr>
          <w:rFonts w:eastAsia="Times New Roman"/>
          <w:bCs/>
          <w:color w:val="181512"/>
        </w:rPr>
        <w:t xml:space="preserve"> follow-up within 3 years. The results of the univariate and multivariate by Cox regression were clearly presented that T </w:t>
      </w:r>
      <w:r w:rsidR="00C125DD" w:rsidRPr="00464C8E">
        <w:rPr>
          <w:rFonts w:eastAsia="Times New Roman"/>
          <w:bCs/>
          <w:color w:val="181512"/>
        </w:rPr>
        <w:t>Stage (</w:t>
      </w:r>
      <w:r w:rsidRPr="00464C8E">
        <w:rPr>
          <w:rFonts w:eastAsia="Times New Roman"/>
          <w:bCs/>
          <w:color w:val="181512"/>
        </w:rPr>
        <w:t xml:space="preserve">P=0.000), TNM </w:t>
      </w:r>
      <w:r w:rsidR="00C125DD" w:rsidRPr="00464C8E">
        <w:rPr>
          <w:rFonts w:eastAsia="Times New Roman"/>
          <w:bCs/>
          <w:color w:val="181512"/>
        </w:rPr>
        <w:t>stage (</w:t>
      </w:r>
      <w:r w:rsidRPr="00464C8E">
        <w:rPr>
          <w:rFonts w:eastAsia="Times New Roman"/>
          <w:bCs/>
          <w:color w:val="181512"/>
        </w:rPr>
        <w:t xml:space="preserve">P=0.001), maximum diameter of </w:t>
      </w:r>
      <w:r w:rsidR="00C125DD" w:rsidRPr="00464C8E">
        <w:rPr>
          <w:rFonts w:eastAsia="Times New Roman"/>
          <w:bCs/>
          <w:color w:val="181512"/>
        </w:rPr>
        <w:t>tumor (</w:t>
      </w:r>
      <w:r w:rsidRPr="00464C8E">
        <w:rPr>
          <w:rFonts w:eastAsia="Times New Roman"/>
          <w:bCs/>
          <w:color w:val="181512"/>
        </w:rPr>
        <w:t>P=0.001) were risk factors of overall survival of follow-up within 3 years. If we attached much importance to insure chemotherapy cycle adequately performance, the overall survival rate may be significantly improved. At the same time, maximum diameter of tumor can be reduced through complete chemotherapy implement. Finally, overall survival ratio of follow-up within 3 years may be enhanced by this measure. And then, we develo</w:t>
      </w:r>
      <w:r w:rsidRPr="00464C8E">
        <w:rPr>
          <w:rFonts w:eastAsia="Times New Roman" w:hint="eastAsia"/>
          <w:bCs/>
          <w:color w:val="181512"/>
        </w:rPr>
        <w:t xml:space="preserve">p novel nomograms to accurately predict overall survival (OS) of chemotherapy cycles&lt;9 and chemotherapy cycles≥9 and construct risk stratification to differentiate low-risk and high-risk of two </w:t>
      </w:r>
      <w:r w:rsidR="00C125DD" w:rsidRPr="00464C8E">
        <w:rPr>
          <w:rFonts w:eastAsia="Times New Roman"/>
          <w:bCs/>
          <w:color w:val="181512"/>
        </w:rPr>
        <w:t xml:space="preserve">cohorts. </w:t>
      </w:r>
      <w:r w:rsidRPr="00464C8E">
        <w:rPr>
          <w:rFonts w:eastAsia="Times New Roman" w:hint="eastAsia"/>
          <w:bCs/>
          <w:color w:val="181512"/>
        </w:rPr>
        <w:t>Nomograms predicting 3- and 5-year OS were built acc</w:t>
      </w:r>
      <w:r w:rsidRPr="00464C8E">
        <w:rPr>
          <w:rFonts w:eastAsia="Times New Roman"/>
          <w:bCs/>
          <w:color w:val="181512"/>
        </w:rPr>
        <w:t xml:space="preserve">ording to variables resulting from multivariable Cox models. Discrimination ability was calculated using the Harrell’s Concordance Index. The constructed nomogram was subjected to 1,000 resamples bootstrap for internal validation. Calibration curves </w:t>
      </w:r>
      <w:proofErr w:type="gramStart"/>
      <w:r w:rsidRPr="00464C8E">
        <w:rPr>
          <w:rFonts w:eastAsia="Times New Roman"/>
          <w:bCs/>
          <w:color w:val="181512"/>
        </w:rPr>
        <w:t>for</w:t>
      </w:r>
      <w:proofErr w:type="gramEnd"/>
      <w:r w:rsidRPr="00464C8E">
        <w:rPr>
          <w:rFonts w:eastAsia="Times New Roman"/>
          <w:bCs/>
          <w:color w:val="181512"/>
        </w:rPr>
        <w:t xml:space="preserve"> the new nomograms were used to test the consistency between the predicted and actual 3- and 5-year OS.  Decision curve analysis (DCA) was performed to assess the clinical net benefit. The Concordance index (C-index) and time-dependent receiver operating characteristic (t-ROC) curves were used to evaluate and compare the discriminative abilities of the new nomograms. Finally, prognostic risk stratification of gastric cancer was conducted with X-tile software and nomograms converted into a risk-stratified prognosis model. For the nomogram predict OS of chemotherapy cycles &lt;9, C-index was 0.711 (95%CI: 0.663-0.760) in internal validation and 0.722(95%CI</w:t>
      </w:r>
      <w:proofErr w:type="gramStart"/>
      <w:r w:rsidRPr="00464C8E">
        <w:rPr>
          <w:rFonts w:eastAsia="Times New Roman"/>
          <w:bCs/>
          <w:color w:val="181512"/>
        </w:rPr>
        <w:t>:0.662</w:t>
      </w:r>
      <w:proofErr w:type="gramEnd"/>
      <w:r w:rsidRPr="00464C8E">
        <w:rPr>
          <w:rFonts w:eastAsia="Times New Roman"/>
          <w:bCs/>
          <w:color w:val="181512"/>
        </w:rPr>
        <w:t>-0.783) in external validation, which was better than AJCC 8th edition TNM staging (internal validation:0.</w:t>
      </w:r>
      <w:r w:rsidRPr="00464C8E">
        <w:rPr>
          <w:rFonts w:eastAsia="Times New Roman" w:hint="eastAsia"/>
          <w:bCs/>
          <w:color w:val="181512"/>
        </w:rPr>
        <w:t>627 ,95%CI: 0.585-0.670) and (external validation:0.595,95%CI:0.543-0.648). The C-index of the nomogram for chemotherapy cycles≥9 in internal validation was 0.755 (95%CI: 0.728-0.782) and 0.785(95%CI</w:t>
      </w:r>
      <w:proofErr w:type="gramStart"/>
      <w:r w:rsidRPr="00464C8E">
        <w:rPr>
          <w:rFonts w:eastAsia="Times New Roman" w:hint="eastAsia"/>
          <w:bCs/>
          <w:color w:val="181512"/>
        </w:rPr>
        <w:t>:0.747</w:t>
      </w:r>
      <w:proofErr w:type="gramEnd"/>
      <w:r w:rsidRPr="00464C8E">
        <w:rPr>
          <w:rFonts w:eastAsia="Times New Roman" w:hint="eastAsia"/>
          <w:bCs/>
          <w:color w:val="181512"/>
        </w:rPr>
        <w:t>-0.823) in external validation, which was superior to the AJCC 8th edition TNM staging (internal validation: 0.712 95%CI: 0.688-0.737) and (external validation 0.734, 95%CI:0.699-0.770). Chemotherapy cycles≥9 is therefore recommended for high-risk patients with chemotherapy cycles &lt;9, but not for low-risk patients. Meanwhile, combination with multiple therapies are essential to high-risk patients with chemotherapy cycles ≥9 and unnecessary for low-risk patients. We retrospectively evaluated 412 patients of stage</w:t>
      </w:r>
      <w:r>
        <w:rPr>
          <w:rFonts w:eastAsia="Times New Roman"/>
          <w:bCs/>
          <w:color w:val="181512"/>
        </w:rPr>
        <w:t xml:space="preserve"> </w:t>
      </w:r>
      <w:r w:rsidRPr="00464C8E">
        <w:rPr>
          <w:rFonts w:eastAsia="Times New Roman" w:hint="eastAsia"/>
          <w:bCs/>
          <w:color w:val="181512"/>
        </w:rPr>
        <w:t>Ⅱ and 902 patients with stage</w:t>
      </w:r>
      <w:r>
        <w:rPr>
          <w:rFonts w:eastAsia="Times New Roman"/>
          <w:bCs/>
          <w:color w:val="181512"/>
        </w:rPr>
        <w:t xml:space="preserve"> </w:t>
      </w:r>
      <w:r w:rsidRPr="00464C8E">
        <w:rPr>
          <w:rFonts w:eastAsia="Times New Roman" w:hint="eastAsia"/>
          <w:bCs/>
          <w:color w:val="181512"/>
        </w:rPr>
        <w:t xml:space="preserve">Ⅲ gastric cancer </w:t>
      </w:r>
      <w:r w:rsidRPr="00464C8E">
        <w:rPr>
          <w:rFonts w:eastAsia="Times New Roman"/>
          <w:bCs/>
          <w:color w:val="181512"/>
        </w:rPr>
        <w:t>who underwent D2+gastrectomy plus adjuvant chemotherapy or neoadjuvant chemotherapy. Propensity score matching (PSM) analysis was performed with a 1:1 ratio to reduce the real-life baseline difference between the two groups. After PSM, the baseline charact</w:t>
      </w:r>
      <w:r w:rsidRPr="00464C8E">
        <w:rPr>
          <w:rFonts w:eastAsia="Times New Roman" w:hint="eastAsia"/>
          <w:bCs/>
          <w:color w:val="181512"/>
        </w:rPr>
        <w:t>eristics were similar between the two groups for stage</w:t>
      </w:r>
      <w:r>
        <w:rPr>
          <w:rFonts w:eastAsia="Times New Roman"/>
          <w:bCs/>
          <w:color w:val="181512"/>
        </w:rPr>
        <w:t xml:space="preserve"> </w:t>
      </w:r>
      <w:proofErr w:type="spellStart"/>
      <w:r w:rsidRPr="00464C8E">
        <w:rPr>
          <w:rFonts w:eastAsia="Times New Roman" w:hint="eastAsia"/>
          <w:bCs/>
          <w:color w:val="181512"/>
        </w:rPr>
        <w:t>Ⅱand</w:t>
      </w:r>
      <w:proofErr w:type="spellEnd"/>
      <w:r w:rsidRPr="00464C8E">
        <w:rPr>
          <w:rFonts w:eastAsia="Times New Roman" w:hint="eastAsia"/>
          <w:bCs/>
          <w:color w:val="181512"/>
        </w:rPr>
        <w:t xml:space="preserve"> Ⅲ. Kaplan-Meier analysis showed that no difference was observed in OS (stage Ⅱ</w:t>
      </w:r>
      <w:proofErr w:type="gramStart"/>
      <w:r w:rsidRPr="00464C8E">
        <w:rPr>
          <w:rFonts w:eastAsia="Times New Roman" w:hint="eastAsia"/>
          <w:bCs/>
          <w:color w:val="181512"/>
        </w:rPr>
        <w:t>:HR</w:t>
      </w:r>
      <w:proofErr w:type="gramEnd"/>
      <w:r w:rsidRPr="00464C8E">
        <w:rPr>
          <w:rFonts w:eastAsia="Times New Roman" w:hint="eastAsia"/>
          <w:bCs/>
          <w:color w:val="181512"/>
        </w:rPr>
        <w:t xml:space="preserve"> 0.856, 95%CI 0.454-1.612; P = 0.630, stage Ⅲ: HR=1.175, 95% CI: 0.926–1.492, p=0.173) or PFS (stage Ⅱ:HR 0.694, 95%CI 0.409-1.177; P = 0.173, stage Ⅲ: HR=0.934, 95% CI: 0.658–1.025, P=0.074) between the two groups. The overall </w:t>
      </w:r>
      <w:r w:rsidRPr="00464C8E">
        <w:rPr>
          <w:rFonts w:eastAsia="Times New Roman"/>
          <w:bCs/>
          <w:color w:val="181512"/>
        </w:rPr>
        <w:t>recurrence (</w:t>
      </w:r>
      <w:r w:rsidRPr="00464C8E">
        <w:rPr>
          <w:rFonts w:eastAsia="Times New Roman" w:hint="eastAsia"/>
          <w:bCs/>
          <w:color w:val="181512"/>
        </w:rPr>
        <w:t xml:space="preserve">P&lt;0.001), local-regional metastasis (P=0.002), distant </w:t>
      </w:r>
      <w:r w:rsidRPr="00464C8E">
        <w:rPr>
          <w:rFonts w:eastAsia="Times New Roman"/>
          <w:bCs/>
          <w:color w:val="181512"/>
        </w:rPr>
        <w:t>metastasis (</w:t>
      </w:r>
      <w:r w:rsidRPr="00464C8E">
        <w:rPr>
          <w:rFonts w:eastAsia="Times New Roman" w:hint="eastAsia"/>
          <w:bCs/>
          <w:color w:val="181512"/>
        </w:rPr>
        <w:t>P=0.001) rates in chemotherapy cycles≥9 group were significantly lower than in the chemotherapy cycles&lt;9 group for stage Ⅲ. The interaction analysis by Cox proportional hazard regression model showed that intestinal type, proximal gastrectomy, maximum diameter of tumor≥6cm had higher risk of total mortality in group of chemotherapy cycle</w:t>
      </w:r>
      <w:r w:rsidRPr="00464C8E">
        <w:rPr>
          <w:rFonts w:ascii="SimSun" w:hAnsi="SimSun" w:cs="SimSun" w:hint="eastAsia"/>
          <w:bCs/>
          <w:color w:val="181512"/>
        </w:rPr>
        <w:t>＜</w:t>
      </w:r>
      <w:r w:rsidRPr="00464C8E">
        <w:rPr>
          <w:rFonts w:eastAsia="Times New Roman" w:hint="eastAsia"/>
          <w:bCs/>
          <w:color w:val="181512"/>
        </w:rPr>
        <w:t>9. As a whole, chemotherapy cycles</w:t>
      </w:r>
      <w:r w:rsidRPr="00464C8E">
        <w:rPr>
          <w:rFonts w:eastAsia="Times New Roman"/>
          <w:bCs/>
          <w:color w:val="181512"/>
        </w:rPr>
        <w:t>≥</w:t>
      </w:r>
      <w:r w:rsidRPr="00464C8E">
        <w:rPr>
          <w:rFonts w:eastAsia="Times New Roman" w:hint="eastAsia"/>
          <w:bCs/>
          <w:color w:val="181512"/>
        </w:rPr>
        <w:t xml:space="preserve">9 is unnecessary for patients </w:t>
      </w:r>
      <w:r w:rsidRPr="00464C8E">
        <w:rPr>
          <w:rFonts w:eastAsia="Times New Roman" w:hint="eastAsia"/>
          <w:bCs/>
          <w:color w:val="181512"/>
        </w:rPr>
        <w:lastRenderedPageBreak/>
        <w:t>with stage</w:t>
      </w:r>
      <w:r>
        <w:rPr>
          <w:rFonts w:eastAsia="Times New Roman"/>
          <w:bCs/>
          <w:color w:val="181512"/>
        </w:rPr>
        <w:t xml:space="preserve"> </w:t>
      </w:r>
      <w:r w:rsidRPr="00464C8E">
        <w:rPr>
          <w:rFonts w:eastAsia="Times New Roman"/>
          <w:bCs/>
          <w:color w:val="181512"/>
        </w:rPr>
        <w:t>Ⅱ</w:t>
      </w:r>
      <w:r w:rsidRPr="00464C8E">
        <w:rPr>
          <w:rFonts w:eastAsia="Times New Roman" w:hint="eastAsia"/>
          <w:bCs/>
          <w:color w:val="181512"/>
        </w:rPr>
        <w:t xml:space="preserve"> and stage </w:t>
      </w:r>
      <w:r w:rsidRPr="00464C8E">
        <w:rPr>
          <w:rFonts w:eastAsia="Times New Roman"/>
          <w:bCs/>
          <w:color w:val="181512"/>
        </w:rPr>
        <w:t>Ⅲ</w:t>
      </w:r>
      <w:r w:rsidRPr="00464C8E">
        <w:rPr>
          <w:rFonts w:eastAsia="Times New Roman" w:hint="eastAsia"/>
          <w:bCs/>
          <w:color w:val="181512"/>
        </w:rPr>
        <w:t xml:space="preserve"> owing to its insignificant role in prognosis of gastric cancer. On the other side, chemotherapy cycles≥9 has a major part to play in avoiding recurrence of patients with stage Ⅲ, except for the role in stage</w:t>
      </w:r>
      <w:r>
        <w:rPr>
          <w:rFonts w:eastAsia="Times New Roman"/>
          <w:bCs/>
          <w:color w:val="181512"/>
        </w:rPr>
        <w:t xml:space="preserve"> </w:t>
      </w:r>
      <w:r w:rsidRPr="00464C8E">
        <w:rPr>
          <w:rFonts w:eastAsia="Times New Roman" w:hint="eastAsia"/>
          <w:bCs/>
          <w:color w:val="181512"/>
        </w:rPr>
        <w:t>Ⅱ.</w:t>
      </w:r>
    </w:p>
    <w:p w14:paraId="75196C44" w14:textId="77777777" w:rsidR="005C7573" w:rsidRPr="00464C8E" w:rsidRDefault="005C7573" w:rsidP="003D5496">
      <w:pPr>
        <w:spacing w:line="240" w:lineRule="exact"/>
        <w:jc w:val="both"/>
        <w:rPr>
          <w:sz w:val="16"/>
          <w:szCs w:val="16"/>
          <w:lang w:eastAsia="zh-CN"/>
        </w:rPr>
      </w:pPr>
    </w:p>
    <w:p w14:paraId="6B5B585F" w14:textId="77777777" w:rsidR="005C7573" w:rsidRPr="00666D95" w:rsidRDefault="005C7573" w:rsidP="003D5496">
      <w:pPr>
        <w:autoSpaceDE w:val="0"/>
        <w:autoSpaceDN w:val="0"/>
        <w:adjustRightInd w:val="0"/>
        <w:spacing w:line="240" w:lineRule="exact"/>
        <w:ind w:right="-1"/>
        <w:jc w:val="both"/>
        <w:rPr>
          <w:rFonts w:eastAsia="Times New Roman"/>
          <w:b/>
          <w:i/>
          <w:color w:val="181512"/>
          <w:sz w:val="24"/>
          <w:szCs w:val="24"/>
        </w:rPr>
      </w:pPr>
      <w:r w:rsidRPr="00666D95">
        <w:rPr>
          <w:rFonts w:eastAsia="Times New Roman" w:hint="eastAsia"/>
          <w:b/>
          <w:i/>
          <w:color w:val="181512"/>
          <w:sz w:val="24"/>
          <w:szCs w:val="24"/>
        </w:rPr>
        <w:t xml:space="preserve">Biography </w:t>
      </w:r>
    </w:p>
    <w:p w14:paraId="2A5A3577" w14:textId="77777777" w:rsidR="00BA38DB" w:rsidRPr="00147F9C" w:rsidRDefault="00BA38DB" w:rsidP="003D5496">
      <w:pPr>
        <w:spacing w:line="240" w:lineRule="exact"/>
        <w:ind w:right="-1"/>
        <w:jc w:val="both"/>
        <w:rPr>
          <w:b/>
          <w:sz w:val="16"/>
          <w:szCs w:val="16"/>
          <w:lang w:eastAsia="zh-CN"/>
        </w:rPr>
      </w:pPr>
    </w:p>
    <w:p w14:paraId="61C1E0EF" w14:textId="77777777" w:rsidR="00464C8E" w:rsidRPr="00464C8E" w:rsidRDefault="005C7573" w:rsidP="00464C8E">
      <w:pPr>
        <w:widowControl w:val="0"/>
        <w:autoSpaceDE w:val="0"/>
        <w:autoSpaceDN w:val="0"/>
        <w:adjustRightInd w:val="0"/>
        <w:spacing w:line="240" w:lineRule="exact"/>
        <w:ind w:right="-1"/>
        <w:jc w:val="both"/>
        <w:rPr>
          <w:rFonts w:eastAsia="Times New Roman"/>
          <w:bCs/>
          <w:color w:val="181512"/>
        </w:rPr>
      </w:pPr>
      <w:proofErr w:type="spellStart"/>
      <w:r w:rsidRPr="003D5496">
        <w:rPr>
          <w:rFonts w:eastAsia="Times New Roman"/>
          <w:bCs/>
          <w:color w:val="181512"/>
        </w:rPr>
        <w:t>Dr</w:t>
      </w:r>
      <w:r w:rsidR="00860E9C" w:rsidRPr="003D5496">
        <w:rPr>
          <w:rFonts w:hint="eastAsia"/>
          <w:bCs/>
          <w:color w:val="181512"/>
          <w:lang w:eastAsia="zh-CN"/>
        </w:rPr>
        <w:t>.</w:t>
      </w:r>
      <w:r w:rsidR="00464C8E">
        <w:rPr>
          <w:rFonts w:eastAsia="Times New Roman"/>
          <w:bCs/>
          <w:color w:val="181512"/>
        </w:rPr>
        <w:t>Yifan</w:t>
      </w:r>
      <w:proofErr w:type="spellEnd"/>
      <w:r w:rsidR="00464C8E">
        <w:rPr>
          <w:rFonts w:eastAsia="Times New Roman"/>
          <w:bCs/>
          <w:color w:val="181512"/>
        </w:rPr>
        <w:t xml:space="preserve"> Li</w:t>
      </w:r>
      <w:r w:rsidRPr="003D5496">
        <w:rPr>
          <w:rFonts w:eastAsia="Times New Roman"/>
          <w:bCs/>
          <w:color w:val="181512"/>
        </w:rPr>
        <w:t>, Medicine Doctor (Ph</w:t>
      </w:r>
      <w:r w:rsidR="005311F0" w:rsidRPr="003D5496">
        <w:rPr>
          <w:rFonts w:hint="eastAsia"/>
          <w:bCs/>
          <w:color w:val="181512"/>
          <w:lang w:eastAsia="zh-CN"/>
        </w:rPr>
        <w:t>.</w:t>
      </w:r>
      <w:r w:rsidRPr="003D5496">
        <w:rPr>
          <w:rFonts w:eastAsia="Times New Roman"/>
          <w:bCs/>
          <w:color w:val="181512"/>
        </w:rPr>
        <w:t>D</w:t>
      </w:r>
      <w:r w:rsidR="005311F0" w:rsidRPr="003D5496">
        <w:rPr>
          <w:rFonts w:hint="eastAsia"/>
          <w:bCs/>
          <w:color w:val="181512"/>
          <w:lang w:eastAsia="zh-CN"/>
        </w:rPr>
        <w:t>.</w:t>
      </w:r>
      <w:r w:rsidRPr="003D5496">
        <w:rPr>
          <w:rFonts w:eastAsia="Times New Roman"/>
          <w:bCs/>
          <w:color w:val="181512"/>
        </w:rPr>
        <w:t>-medicine)</w:t>
      </w:r>
      <w:proofErr w:type="gramStart"/>
      <w:r w:rsidRPr="003D5496">
        <w:rPr>
          <w:rFonts w:eastAsia="Times New Roman"/>
          <w:bCs/>
          <w:color w:val="181512"/>
        </w:rPr>
        <w:t>,</w:t>
      </w:r>
      <w:r w:rsidR="00BA38DB" w:rsidRPr="003D5496">
        <w:rPr>
          <w:rFonts w:eastAsia="Times New Roman" w:hint="eastAsia"/>
          <w:bCs/>
          <w:color w:val="181512"/>
        </w:rPr>
        <w:t>now</w:t>
      </w:r>
      <w:proofErr w:type="gramEnd"/>
      <w:r w:rsidR="00BA38DB" w:rsidRPr="003D5496">
        <w:rPr>
          <w:rFonts w:eastAsia="Times New Roman" w:hint="eastAsia"/>
          <w:bCs/>
          <w:color w:val="181512"/>
        </w:rPr>
        <w:t xml:space="preserve"> is an</w:t>
      </w:r>
      <w:r w:rsidRPr="003D5496">
        <w:rPr>
          <w:rFonts w:eastAsia="Times New Roman"/>
          <w:bCs/>
          <w:color w:val="181512"/>
        </w:rPr>
        <w:t xml:space="preserve"> Associate professor of </w:t>
      </w:r>
      <w:r w:rsidR="00464C8E">
        <w:rPr>
          <w:rFonts w:asciiTheme="minorEastAsia" w:eastAsiaTheme="minorEastAsia" w:hAnsiTheme="minorEastAsia"/>
          <w:bCs/>
          <w:color w:val="181512"/>
          <w:lang w:eastAsia="zh-CN"/>
        </w:rPr>
        <w:t>Shanxi cancer hospital,</w:t>
      </w:r>
    </w:p>
    <w:p w14:paraId="65DF0E55" w14:textId="77777777" w:rsidR="004D65BF" w:rsidRPr="00464C8E" w:rsidRDefault="00464C8E" w:rsidP="00464C8E">
      <w:pPr>
        <w:widowControl w:val="0"/>
        <w:autoSpaceDE w:val="0"/>
        <w:autoSpaceDN w:val="0"/>
        <w:adjustRightInd w:val="0"/>
        <w:spacing w:line="240" w:lineRule="exact"/>
        <w:ind w:right="-1"/>
        <w:jc w:val="both"/>
        <w:rPr>
          <w:rFonts w:eastAsia="Times New Roman"/>
          <w:bCs/>
          <w:color w:val="181512"/>
        </w:rPr>
      </w:pPr>
      <w:r>
        <w:rPr>
          <w:rFonts w:eastAsia="Times New Roman"/>
          <w:bCs/>
          <w:color w:val="181512"/>
        </w:rPr>
        <w:t>Member</w:t>
      </w:r>
      <w:r w:rsidRPr="00464C8E">
        <w:rPr>
          <w:rFonts w:eastAsia="Times New Roman"/>
          <w:bCs/>
          <w:color w:val="181512"/>
        </w:rPr>
        <w:t xml:space="preserve"> of Shanxi Anti-Cancer Association</w:t>
      </w:r>
      <w:r>
        <w:rPr>
          <w:rFonts w:eastAsia="Times New Roman"/>
          <w:bCs/>
          <w:color w:val="181512"/>
        </w:rPr>
        <w:t xml:space="preserve">, </w:t>
      </w:r>
      <w:r w:rsidRPr="00464C8E">
        <w:rPr>
          <w:rFonts w:eastAsia="Times New Roman"/>
          <w:bCs/>
          <w:color w:val="181512"/>
        </w:rPr>
        <w:t>member of China Anti-Cancer Association</w:t>
      </w:r>
      <w:r>
        <w:rPr>
          <w:rFonts w:eastAsia="Times New Roman"/>
          <w:bCs/>
          <w:color w:val="181512"/>
        </w:rPr>
        <w:t xml:space="preserve">, </w:t>
      </w:r>
      <w:r w:rsidRPr="00464C8E">
        <w:rPr>
          <w:rFonts w:eastAsia="Times New Roman"/>
          <w:bCs/>
          <w:color w:val="181512"/>
        </w:rPr>
        <w:t>member of gastric Cancer Committee of Chinese An</w:t>
      </w:r>
      <w:r>
        <w:rPr>
          <w:rFonts w:eastAsia="Times New Roman"/>
          <w:bCs/>
          <w:color w:val="181512"/>
        </w:rPr>
        <w:t>ti-Cancer Association, m</w:t>
      </w:r>
      <w:r w:rsidRPr="00464C8E">
        <w:rPr>
          <w:rFonts w:eastAsia="Times New Roman"/>
          <w:bCs/>
          <w:color w:val="181512"/>
        </w:rPr>
        <w:t>ember of Targeted Therapy Committee of Chinese Anti-Cancer association</w:t>
      </w:r>
      <w:r>
        <w:rPr>
          <w:rFonts w:eastAsiaTheme="minorEastAsia"/>
          <w:bCs/>
          <w:color w:val="181512"/>
          <w:lang w:eastAsia="zh-CN"/>
        </w:rPr>
        <w:t>,</w:t>
      </w:r>
      <w:r>
        <w:rPr>
          <w:rFonts w:eastAsia="Times New Roman"/>
          <w:bCs/>
          <w:color w:val="181512"/>
        </w:rPr>
        <w:t xml:space="preserve"> </w:t>
      </w:r>
      <w:r w:rsidRPr="00464C8E">
        <w:rPr>
          <w:rFonts w:eastAsia="Times New Roman"/>
          <w:bCs/>
          <w:color w:val="181512"/>
        </w:rPr>
        <w:t>member of Precision Therapy Committee of the Chinese Anti-Cancer association</w:t>
      </w:r>
      <w:r>
        <w:rPr>
          <w:rFonts w:eastAsiaTheme="minorEastAsia"/>
          <w:bCs/>
          <w:color w:val="181512"/>
          <w:lang w:eastAsia="zh-CN"/>
        </w:rPr>
        <w:t>,</w:t>
      </w:r>
      <w:r>
        <w:rPr>
          <w:rFonts w:eastAsia="Times New Roman"/>
          <w:bCs/>
          <w:color w:val="181512"/>
        </w:rPr>
        <w:t xml:space="preserve"> </w:t>
      </w:r>
      <w:r w:rsidRPr="00464C8E">
        <w:rPr>
          <w:rFonts w:eastAsia="Times New Roman"/>
          <w:bCs/>
          <w:color w:val="181512"/>
        </w:rPr>
        <w:t>member of Liver pathology Committee of Chinese Anti-Cancer association</w:t>
      </w:r>
      <w:r>
        <w:rPr>
          <w:rFonts w:eastAsiaTheme="minorEastAsia"/>
          <w:bCs/>
          <w:color w:val="181512"/>
          <w:lang w:eastAsia="zh-CN"/>
        </w:rPr>
        <w:t>,</w:t>
      </w:r>
      <w:r>
        <w:rPr>
          <w:rFonts w:eastAsia="Times New Roman"/>
          <w:bCs/>
          <w:color w:val="181512"/>
        </w:rPr>
        <w:t xml:space="preserve"> </w:t>
      </w:r>
      <w:r w:rsidRPr="00464C8E">
        <w:rPr>
          <w:rFonts w:eastAsia="Times New Roman"/>
          <w:bCs/>
          <w:color w:val="181512"/>
        </w:rPr>
        <w:t>member of the Pancreatic Lesion Committee of the Chinese Anti-Cancer association</w:t>
      </w:r>
      <w:r>
        <w:rPr>
          <w:rFonts w:eastAsiaTheme="minorEastAsia"/>
          <w:bCs/>
          <w:color w:val="181512"/>
          <w:lang w:eastAsia="zh-CN"/>
        </w:rPr>
        <w:t>,</w:t>
      </w:r>
      <w:r>
        <w:rPr>
          <w:rFonts w:eastAsia="Times New Roman"/>
          <w:bCs/>
          <w:color w:val="181512"/>
        </w:rPr>
        <w:t xml:space="preserve"> </w:t>
      </w:r>
      <w:r w:rsidRPr="00464C8E">
        <w:rPr>
          <w:rFonts w:eastAsia="Times New Roman"/>
          <w:bCs/>
          <w:color w:val="181512"/>
        </w:rPr>
        <w:t>member of the International Gastric Cancer Association (IGCA)</w:t>
      </w:r>
      <w:r>
        <w:rPr>
          <w:rFonts w:eastAsiaTheme="minorEastAsia" w:hint="eastAsia"/>
          <w:bCs/>
          <w:color w:val="181512"/>
          <w:lang w:eastAsia="zh-CN"/>
        </w:rPr>
        <w:t>,</w:t>
      </w:r>
      <w:r>
        <w:rPr>
          <w:rFonts w:eastAsia="Times New Roman"/>
          <w:bCs/>
          <w:color w:val="181512"/>
        </w:rPr>
        <w:t>m</w:t>
      </w:r>
      <w:r w:rsidRPr="00464C8E">
        <w:rPr>
          <w:rFonts w:eastAsia="Times New Roman"/>
          <w:bCs/>
          <w:color w:val="181512"/>
        </w:rPr>
        <w:t>ember of the International Liver Cancer Association (ILCA)</w:t>
      </w:r>
      <w:r>
        <w:rPr>
          <w:rFonts w:eastAsiaTheme="minorEastAsia" w:hint="eastAsia"/>
          <w:bCs/>
          <w:color w:val="181512"/>
          <w:lang w:eastAsia="zh-CN"/>
        </w:rPr>
        <w:t>,</w:t>
      </w:r>
      <w:r>
        <w:rPr>
          <w:rFonts w:eastAsia="Times New Roman"/>
          <w:bCs/>
          <w:color w:val="181512"/>
        </w:rPr>
        <w:t>m</w:t>
      </w:r>
      <w:r w:rsidRPr="00464C8E">
        <w:rPr>
          <w:rFonts w:eastAsia="Times New Roman"/>
          <w:bCs/>
          <w:color w:val="181512"/>
        </w:rPr>
        <w:t>ember of the European Society Medical Oncology (ESMO)</w:t>
      </w:r>
      <w:r>
        <w:rPr>
          <w:rFonts w:eastAsiaTheme="minorEastAsia" w:hint="eastAsia"/>
          <w:bCs/>
          <w:color w:val="181512"/>
          <w:lang w:eastAsia="zh-CN"/>
        </w:rPr>
        <w:t>,</w:t>
      </w:r>
      <w:r>
        <w:rPr>
          <w:rFonts w:eastAsia="Times New Roman"/>
          <w:bCs/>
          <w:color w:val="181512"/>
        </w:rPr>
        <w:t>i</w:t>
      </w:r>
      <w:r w:rsidRPr="00464C8E">
        <w:rPr>
          <w:rFonts w:eastAsia="Times New Roman"/>
          <w:bCs/>
          <w:color w:val="181512"/>
        </w:rPr>
        <w:t xml:space="preserve">nvited to be a speaker at the Seventh World Conference on Cancer Research and Therapy held in Las Vegas, USA </w:t>
      </w:r>
      <w:r>
        <w:rPr>
          <w:rFonts w:eastAsiaTheme="minorEastAsia" w:hint="eastAsia"/>
          <w:bCs/>
          <w:color w:val="181512"/>
          <w:lang w:eastAsia="zh-CN"/>
        </w:rPr>
        <w:t>,</w:t>
      </w:r>
      <w:r>
        <w:rPr>
          <w:rFonts w:eastAsia="Times New Roman"/>
          <w:bCs/>
          <w:color w:val="181512"/>
        </w:rPr>
        <w:t>i</w:t>
      </w:r>
      <w:r w:rsidRPr="00464C8E">
        <w:rPr>
          <w:rFonts w:eastAsia="Times New Roman"/>
          <w:bCs/>
          <w:color w:val="181512"/>
        </w:rPr>
        <w:t xml:space="preserve">nvited to a speaker of 23rd World Congress on Cancer and Diagnostics August 23-24,2023 Toronto, Canada </w:t>
      </w:r>
      <w:r>
        <w:rPr>
          <w:rFonts w:eastAsiaTheme="minorEastAsia" w:hint="eastAsia"/>
          <w:bCs/>
          <w:color w:val="181512"/>
          <w:lang w:eastAsia="zh-CN"/>
        </w:rPr>
        <w:t>,</w:t>
      </w:r>
      <w:r>
        <w:rPr>
          <w:rFonts w:eastAsia="Times New Roman"/>
          <w:bCs/>
          <w:color w:val="181512"/>
        </w:rPr>
        <w:t>i</w:t>
      </w:r>
      <w:r w:rsidRPr="00464C8E">
        <w:rPr>
          <w:rFonts w:eastAsia="Times New Roman"/>
          <w:bCs/>
          <w:color w:val="181512"/>
        </w:rPr>
        <w:t xml:space="preserve">nvited to be a speaker at the 112th World Congress on Biosensors and Bioelectronics in London, UK </w:t>
      </w:r>
      <w:r>
        <w:rPr>
          <w:rFonts w:eastAsiaTheme="minorEastAsia" w:hint="eastAsia"/>
          <w:bCs/>
          <w:color w:val="181512"/>
          <w:lang w:eastAsia="zh-CN"/>
        </w:rPr>
        <w:t>,</w:t>
      </w:r>
      <w:r>
        <w:rPr>
          <w:rFonts w:eastAsia="Times New Roman"/>
          <w:bCs/>
          <w:color w:val="181512"/>
        </w:rPr>
        <w:t>a</w:t>
      </w:r>
      <w:r w:rsidRPr="00464C8E">
        <w:rPr>
          <w:rFonts w:eastAsia="Times New Roman"/>
          <w:bCs/>
          <w:color w:val="181512"/>
        </w:rPr>
        <w:t>s a reviewer of "Mini-Reviews in Medicinal Chemistry", Impact Factor 3.737</w:t>
      </w:r>
      <w:r>
        <w:rPr>
          <w:rFonts w:eastAsia="Times New Roman"/>
          <w:bCs/>
          <w:color w:val="181512"/>
        </w:rPr>
        <w:t>.</w:t>
      </w:r>
    </w:p>
    <w:sectPr w:rsidR="004D65BF" w:rsidRPr="00464C8E" w:rsidSect="008E4089">
      <w:headerReference w:type="default" r:id="rId8"/>
      <w:pgSz w:w="11906" w:h="16838"/>
      <w:pgMar w:top="1843" w:right="1134" w:bottom="731" w:left="1134" w:header="993" w:footer="844" w:gutter="0"/>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E02450" w15:done="0"/>
  <w15:commentEx w15:paraId="74B1548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D67EA6" w14:textId="77777777" w:rsidR="00567BB2" w:rsidRDefault="00567BB2">
      <w:r>
        <w:separator/>
      </w:r>
    </w:p>
  </w:endnote>
  <w:endnote w:type="continuationSeparator" w:id="0">
    <w:p w14:paraId="1086C975" w14:textId="77777777" w:rsidR="00567BB2" w:rsidRDefault="0056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1ABF74" w14:textId="77777777" w:rsidR="00567BB2" w:rsidRDefault="00567BB2">
      <w:r>
        <w:separator/>
      </w:r>
    </w:p>
  </w:footnote>
  <w:footnote w:type="continuationSeparator" w:id="0">
    <w:p w14:paraId="4E4C7360" w14:textId="77777777" w:rsidR="00567BB2" w:rsidRDefault="00567B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7EE6B" w14:textId="77777777" w:rsidR="005D76F2" w:rsidRPr="002747F2" w:rsidRDefault="005D76F2">
    <w:pPr>
      <w:pStyle w:val="Header"/>
      <w:jc w:val="left"/>
      <w:rPr>
        <w:rFonts w:ascii="Verdana" w:hAnsi="Verdana"/>
        <w:b/>
        <w:sz w:val="21"/>
        <w:szCs w:val="21"/>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E5F"/>
    <w:rsid w:val="00066165"/>
    <w:rsid w:val="00067F78"/>
    <w:rsid w:val="00073513"/>
    <w:rsid w:val="000A426F"/>
    <w:rsid w:val="000B0923"/>
    <w:rsid w:val="000B22B5"/>
    <w:rsid w:val="00115A18"/>
    <w:rsid w:val="00145D94"/>
    <w:rsid w:val="00147F9C"/>
    <w:rsid w:val="00162A37"/>
    <w:rsid w:val="00164D21"/>
    <w:rsid w:val="00180BBC"/>
    <w:rsid w:val="00232006"/>
    <w:rsid w:val="00232CAE"/>
    <w:rsid w:val="0027181C"/>
    <w:rsid w:val="002747F2"/>
    <w:rsid w:val="00276953"/>
    <w:rsid w:val="00295182"/>
    <w:rsid w:val="002A2B6D"/>
    <w:rsid w:val="002A6F73"/>
    <w:rsid w:val="002A751A"/>
    <w:rsid w:val="002B583A"/>
    <w:rsid w:val="002D683F"/>
    <w:rsid w:val="002F31FD"/>
    <w:rsid w:val="00301638"/>
    <w:rsid w:val="00317B4E"/>
    <w:rsid w:val="003408CF"/>
    <w:rsid w:val="0036504E"/>
    <w:rsid w:val="003C4EB4"/>
    <w:rsid w:val="003D5496"/>
    <w:rsid w:val="003E6943"/>
    <w:rsid w:val="00415CA1"/>
    <w:rsid w:val="00462211"/>
    <w:rsid w:val="00464C8E"/>
    <w:rsid w:val="00492C70"/>
    <w:rsid w:val="004D65BF"/>
    <w:rsid w:val="004E0EFD"/>
    <w:rsid w:val="005311F0"/>
    <w:rsid w:val="0053386D"/>
    <w:rsid w:val="00556BFC"/>
    <w:rsid w:val="00567BB2"/>
    <w:rsid w:val="00580DB7"/>
    <w:rsid w:val="005A227D"/>
    <w:rsid w:val="005C7573"/>
    <w:rsid w:val="005D38C9"/>
    <w:rsid w:val="005D76F2"/>
    <w:rsid w:val="005E1CDC"/>
    <w:rsid w:val="005F1E3F"/>
    <w:rsid w:val="00610786"/>
    <w:rsid w:val="006261AE"/>
    <w:rsid w:val="006330DC"/>
    <w:rsid w:val="00633E0E"/>
    <w:rsid w:val="0066513D"/>
    <w:rsid w:val="00666D95"/>
    <w:rsid w:val="00681C0E"/>
    <w:rsid w:val="006952B4"/>
    <w:rsid w:val="006A0435"/>
    <w:rsid w:val="006C08C6"/>
    <w:rsid w:val="006C27DB"/>
    <w:rsid w:val="006C2C9D"/>
    <w:rsid w:val="006E1568"/>
    <w:rsid w:val="007229D2"/>
    <w:rsid w:val="00735764"/>
    <w:rsid w:val="007437CA"/>
    <w:rsid w:val="007439DF"/>
    <w:rsid w:val="00784436"/>
    <w:rsid w:val="007916EC"/>
    <w:rsid w:val="007A5C9B"/>
    <w:rsid w:val="007B1D50"/>
    <w:rsid w:val="007B65D4"/>
    <w:rsid w:val="007B6D19"/>
    <w:rsid w:val="007D47CF"/>
    <w:rsid w:val="007E0339"/>
    <w:rsid w:val="007E37A4"/>
    <w:rsid w:val="007E7119"/>
    <w:rsid w:val="007F232B"/>
    <w:rsid w:val="007F71AA"/>
    <w:rsid w:val="00815E5F"/>
    <w:rsid w:val="0082098C"/>
    <w:rsid w:val="008224A5"/>
    <w:rsid w:val="00830BE6"/>
    <w:rsid w:val="0083741F"/>
    <w:rsid w:val="00847F36"/>
    <w:rsid w:val="008609CB"/>
    <w:rsid w:val="00860E9C"/>
    <w:rsid w:val="00865823"/>
    <w:rsid w:val="00880CC4"/>
    <w:rsid w:val="008955CB"/>
    <w:rsid w:val="008B2BFB"/>
    <w:rsid w:val="008B593B"/>
    <w:rsid w:val="008D1A55"/>
    <w:rsid w:val="008E4089"/>
    <w:rsid w:val="009035BF"/>
    <w:rsid w:val="0091346F"/>
    <w:rsid w:val="00952E04"/>
    <w:rsid w:val="00954FF6"/>
    <w:rsid w:val="00995A6F"/>
    <w:rsid w:val="009A1848"/>
    <w:rsid w:val="00A24A83"/>
    <w:rsid w:val="00A435CE"/>
    <w:rsid w:val="00A43C0E"/>
    <w:rsid w:val="00A47177"/>
    <w:rsid w:val="00A60894"/>
    <w:rsid w:val="00A702B7"/>
    <w:rsid w:val="00AA3AA6"/>
    <w:rsid w:val="00AD5297"/>
    <w:rsid w:val="00AF46AF"/>
    <w:rsid w:val="00AF638F"/>
    <w:rsid w:val="00AF7112"/>
    <w:rsid w:val="00AF76D6"/>
    <w:rsid w:val="00B16B5C"/>
    <w:rsid w:val="00B21F93"/>
    <w:rsid w:val="00B3133F"/>
    <w:rsid w:val="00B47530"/>
    <w:rsid w:val="00BA33E9"/>
    <w:rsid w:val="00BA38DB"/>
    <w:rsid w:val="00BA5680"/>
    <w:rsid w:val="00BF45FE"/>
    <w:rsid w:val="00BF4A92"/>
    <w:rsid w:val="00C0116D"/>
    <w:rsid w:val="00C125DD"/>
    <w:rsid w:val="00C25BDF"/>
    <w:rsid w:val="00C26D8C"/>
    <w:rsid w:val="00C57790"/>
    <w:rsid w:val="00CA46FD"/>
    <w:rsid w:val="00CA7263"/>
    <w:rsid w:val="00D02BE7"/>
    <w:rsid w:val="00D13930"/>
    <w:rsid w:val="00D50214"/>
    <w:rsid w:val="00D5413E"/>
    <w:rsid w:val="00D74C2D"/>
    <w:rsid w:val="00D97305"/>
    <w:rsid w:val="00DA30C6"/>
    <w:rsid w:val="00DB641F"/>
    <w:rsid w:val="00E0403A"/>
    <w:rsid w:val="00E12010"/>
    <w:rsid w:val="00E15BC7"/>
    <w:rsid w:val="00E31139"/>
    <w:rsid w:val="00E52980"/>
    <w:rsid w:val="00E53D16"/>
    <w:rsid w:val="00E82166"/>
    <w:rsid w:val="00E86C12"/>
    <w:rsid w:val="00EB6A7B"/>
    <w:rsid w:val="00EE3E3B"/>
    <w:rsid w:val="00EE41E1"/>
    <w:rsid w:val="00F049E3"/>
    <w:rsid w:val="00F15FB3"/>
    <w:rsid w:val="00F43E2B"/>
    <w:rsid w:val="00FA1744"/>
    <w:rsid w:val="00FA6255"/>
    <w:rsid w:val="00FE32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18F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139"/>
    <w:rPr>
      <w:lang w:eastAsia="en-US"/>
    </w:rPr>
  </w:style>
  <w:style w:type="paragraph" w:styleId="Heading1">
    <w:name w:val="heading 1"/>
    <w:basedOn w:val="Normal"/>
    <w:next w:val="Normal"/>
    <w:qFormat/>
    <w:rsid w:val="005C7573"/>
    <w:pPr>
      <w:keepNext/>
      <w:keepLines/>
      <w:spacing w:before="340" w:after="330" w:line="578" w:lineRule="auto"/>
      <w:outlineLvl w:val="0"/>
    </w:pPr>
    <w:rPr>
      <w:b/>
      <w:bCs/>
      <w:kern w:val="44"/>
      <w:sz w:val="44"/>
      <w:szCs w:val="44"/>
    </w:rPr>
  </w:style>
  <w:style w:type="paragraph" w:styleId="Heading2">
    <w:name w:val="heading 2"/>
    <w:basedOn w:val="Normal"/>
    <w:next w:val="Normal"/>
    <w:qFormat/>
    <w:rsid w:val="00A60894"/>
    <w:pPr>
      <w:keepNext/>
      <w:spacing w:before="240" w:after="60"/>
      <w:jc w:val="both"/>
      <w:outlineLvl w:val="1"/>
    </w:pPr>
    <w:rPr>
      <w:rFonts w:ascii="Arial" w:eastAsia="Times New Roman" w:hAnsi="Arial" w:cs="Arial"/>
      <w:b/>
      <w:bCs/>
      <w:i/>
      <w:iCs/>
      <w:sz w:val="28"/>
      <w:szCs w:val="28"/>
      <w:lang w:bidi="he-IL"/>
    </w:rPr>
  </w:style>
  <w:style w:type="paragraph" w:styleId="Heading3">
    <w:name w:val="heading 3"/>
    <w:basedOn w:val="Normal"/>
    <w:next w:val="Normal"/>
    <w:qFormat/>
    <w:rsid w:val="005C7573"/>
    <w:pPr>
      <w:keepNext/>
      <w:keepLines/>
      <w:spacing w:before="260" w:after="260" w:line="416" w:lineRule="auto"/>
      <w:outlineLvl w:val="2"/>
    </w:pPr>
    <w:rPr>
      <w:b/>
      <w:bCs/>
      <w:sz w:val="32"/>
      <w:szCs w:val="32"/>
    </w:rPr>
  </w:style>
  <w:style w:type="paragraph" w:styleId="Heading4">
    <w:name w:val="heading 4"/>
    <w:basedOn w:val="Normal"/>
    <w:next w:val="Normal"/>
    <w:qFormat/>
    <w:rsid w:val="005C7573"/>
    <w:pPr>
      <w:keepNext/>
      <w:keepLines/>
      <w:spacing w:before="280" w:after="290" w:line="376" w:lineRule="auto"/>
      <w:outlineLvl w:val="3"/>
    </w:pPr>
    <w:rPr>
      <w:rFonts w:ascii="Arial" w:eastAsia="SimHei" w:hAnsi="Arial"/>
      <w:b/>
      <w:bCs/>
      <w:sz w:val="28"/>
      <w:szCs w:val="28"/>
    </w:rPr>
  </w:style>
  <w:style w:type="paragraph" w:styleId="Heading6">
    <w:name w:val="heading 6"/>
    <w:basedOn w:val="Normal"/>
    <w:next w:val="Normal"/>
    <w:qFormat/>
    <w:rsid w:val="005C7573"/>
    <w:pPr>
      <w:keepNext/>
      <w:keepLines/>
      <w:spacing w:before="240" w:after="64" w:line="320" w:lineRule="auto"/>
      <w:outlineLvl w:val="5"/>
    </w:pPr>
    <w:rPr>
      <w:rFonts w:ascii="Arial" w:eastAsia="SimHei" w:hAnsi="Arial"/>
      <w:b/>
      <w:bCs/>
      <w:sz w:val="24"/>
      <w:szCs w:val="24"/>
    </w:rPr>
  </w:style>
  <w:style w:type="paragraph" w:styleId="Heading7">
    <w:name w:val="heading 7"/>
    <w:basedOn w:val="Normal"/>
    <w:next w:val="Normal"/>
    <w:qFormat/>
    <w:rsid w:val="005C7573"/>
    <w:pPr>
      <w:keepNext/>
      <w:keepLines/>
      <w:spacing w:before="240" w:after="64" w:line="320" w:lineRule="auto"/>
      <w:outlineLvl w:val="6"/>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31139"/>
    <w:pPr>
      <w:spacing w:line="240" w:lineRule="exact"/>
    </w:pPr>
    <w:rPr>
      <w:sz w:val="28"/>
    </w:rPr>
  </w:style>
  <w:style w:type="paragraph" w:styleId="Header">
    <w:name w:val="header"/>
    <w:basedOn w:val="Normal"/>
    <w:rsid w:val="00E31139"/>
    <w:pPr>
      <w:pBdr>
        <w:bottom w:val="single" w:sz="6" w:space="1" w:color="auto"/>
      </w:pBdr>
      <w:tabs>
        <w:tab w:val="center" w:pos="4153"/>
        <w:tab w:val="right" w:pos="8306"/>
      </w:tabs>
      <w:snapToGrid w:val="0"/>
      <w:jc w:val="center"/>
    </w:pPr>
    <w:rPr>
      <w:sz w:val="18"/>
      <w:szCs w:val="18"/>
    </w:rPr>
  </w:style>
  <w:style w:type="paragraph" w:styleId="Footer">
    <w:name w:val="footer"/>
    <w:basedOn w:val="Normal"/>
    <w:link w:val="FooterChar"/>
    <w:uiPriority w:val="99"/>
    <w:rsid w:val="00E31139"/>
    <w:pPr>
      <w:tabs>
        <w:tab w:val="center" w:pos="4153"/>
        <w:tab w:val="right" w:pos="8306"/>
      </w:tabs>
      <w:snapToGrid w:val="0"/>
    </w:pPr>
    <w:rPr>
      <w:sz w:val="18"/>
      <w:szCs w:val="18"/>
    </w:rPr>
  </w:style>
  <w:style w:type="character" w:styleId="Hyperlink">
    <w:name w:val="Hyperlink"/>
    <w:basedOn w:val="DefaultParagraphFont"/>
    <w:rsid w:val="00D5413E"/>
    <w:rPr>
      <w:color w:val="0000FF"/>
      <w:u w:val="single"/>
    </w:rPr>
  </w:style>
  <w:style w:type="paragraph" w:styleId="BalloonText">
    <w:name w:val="Balloon Text"/>
    <w:basedOn w:val="Normal"/>
    <w:link w:val="BalloonTextChar"/>
    <w:rsid w:val="007E7119"/>
    <w:rPr>
      <w:rFonts w:ascii="Tahoma" w:hAnsi="Tahoma" w:cs="Tahoma"/>
      <w:sz w:val="16"/>
      <w:szCs w:val="16"/>
    </w:rPr>
  </w:style>
  <w:style w:type="character" w:customStyle="1" w:styleId="BalloonTextChar">
    <w:name w:val="Balloon Text Char"/>
    <w:basedOn w:val="DefaultParagraphFont"/>
    <w:link w:val="BalloonText"/>
    <w:rsid w:val="007E7119"/>
    <w:rPr>
      <w:rFonts w:ascii="Tahoma" w:hAnsi="Tahoma" w:cs="Tahoma"/>
      <w:sz w:val="16"/>
      <w:szCs w:val="16"/>
      <w:lang w:bidi="ar-SA"/>
    </w:rPr>
  </w:style>
  <w:style w:type="character" w:styleId="CommentReference">
    <w:name w:val="annotation reference"/>
    <w:basedOn w:val="DefaultParagraphFont"/>
    <w:rsid w:val="00860E9C"/>
    <w:rPr>
      <w:sz w:val="21"/>
      <w:szCs w:val="21"/>
    </w:rPr>
  </w:style>
  <w:style w:type="paragraph" w:styleId="CommentText">
    <w:name w:val="annotation text"/>
    <w:basedOn w:val="Normal"/>
    <w:link w:val="CommentTextChar"/>
    <w:rsid w:val="00860E9C"/>
  </w:style>
  <w:style w:type="character" w:customStyle="1" w:styleId="CommentTextChar">
    <w:name w:val="Comment Text Char"/>
    <w:basedOn w:val="DefaultParagraphFont"/>
    <w:link w:val="CommentText"/>
    <w:rsid w:val="00860E9C"/>
    <w:rPr>
      <w:lang w:eastAsia="en-US"/>
    </w:rPr>
  </w:style>
  <w:style w:type="paragraph" w:styleId="CommentSubject">
    <w:name w:val="annotation subject"/>
    <w:basedOn w:val="CommentText"/>
    <w:next w:val="CommentText"/>
    <w:link w:val="CommentSubjectChar"/>
    <w:rsid w:val="00860E9C"/>
    <w:rPr>
      <w:b/>
      <w:bCs/>
    </w:rPr>
  </w:style>
  <w:style w:type="character" w:customStyle="1" w:styleId="CommentSubjectChar">
    <w:name w:val="Comment Subject Char"/>
    <w:basedOn w:val="CommentTextChar"/>
    <w:link w:val="CommentSubject"/>
    <w:rsid w:val="00860E9C"/>
    <w:rPr>
      <w:b/>
      <w:bCs/>
      <w:lang w:eastAsia="en-US"/>
    </w:rPr>
  </w:style>
  <w:style w:type="character" w:customStyle="1" w:styleId="FooterChar">
    <w:name w:val="Footer Char"/>
    <w:basedOn w:val="DefaultParagraphFont"/>
    <w:link w:val="Footer"/>
    <w:uiPriority w:val="99"/>
    <w:rsid w:val="00415CA1"/>
    <w:rPr>
      <w:sz w:val="18"/>
      <w:szCs w:val="18"/>
      <w:lang w:eastAsia="en-US"/>
    </w:rPr>
  </w:style>
  <w:style w:type="paragraph" w:styleId="FootnoteText">
    <w:name w:val="footnote text"/>
    <w:basedOn w:val="Normal"/>
    <w:link w:val="FootnoteTextChar"/>
    <w:rsid w:val="00A43C0E"/>
    <w:pPr>
      <w:snapToGrid w:val="0"/>
    </w:pPr>
    <w:rPr>
      <w:sz w:val="18"/>
      <w:szCs w:val="18"/>
    </w:rPr>
  </w:style>
  <w:style w:type="character" w:customStyle="1" w:styleId="FootnoteTextChar">
    <w:name w:val="Footnote Text Char"/>
    <w:basedOn w:val="DefaultParagraphFont"/>
    <w:link w:val="FootnoteText"/>
    <w:rsid w:val="00A43C0E"/>
    <w:rPr>
      <w:sz w:val="18"/>
      <w:szCs w:val="18"/>
      <w:lang w:eastAsia="en-US"/>
    </w:rPr>
  </w:style>
  <w:style w:type="character" w:styleId="FootnoteReference">
    <w:name w:val="footnote reference"/>
    <w:basedOn w:val="DefaultParagraphFont"/>
    <w:rsid w:val="00A43C0E"/>
    <w:rPr>
      <w:vertAlign w:val="superscript"/>
    </w:rPr>
  </w:style>
  <w:style w:type="paragraph" w:styleId="EndnoteText">
    <w:name w:val="endnote text"/>
    <w:basedOn w:val="Normal"/>
    <w:link w:val="EndnoteTextChar"/>
    <w:rsid w:val="00147F9C"/>
    <w:pPr>
      <w:snapToGrid w:val="0"/>
    </w:pPr>
  </w:style>
  <w:style w:type="character" w:customStyle="1" w:styleId="EndnoteTextChar">
    <w:name w:val="Endnote Text Char"/>
    <w:basedOn w:val="DefaultParagraphFont"/>
    <w:link w:val="EndnoteText"/>
    <w:rsid w:val="00147F9C"/>
    <w:rPr>
      <w:lang w:eastAsia="en-US"/>
    </w:rPr>
  </w:style>
  <w:style w:type="character" w:styleId="EndnoteReference">
    <w:name w:val="endnote reference"/>
    <w:basedOn w:val="DefaultParagraphFont"/>
    <w:rsid w:val="00147F9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139"/>
    <w:rPr>
      <w:lang w:eastAsia="en-US"/>
    </w:rPr>
  </w:style>
  <w:style w:type="paragraph" w:styleId="Heading1">
    <w:name w:val="heading 1"/>
    <w:basedOn w:val="Normal"/>
    <w:next w:val="Normal"/>
    <w:qFormat/>
    <w:rsid w:val="005C7573"/>
    <w:pPr>
      <w:keepNext/>
      <w:keepLines/>
      <w:spacing w:before="340" w:after="330" w:line="578" w:lineRule="auto"/>
      <w:outlineLvl w:val="0"/>
    </w:pPr>
    <w:rPr>
      <w:b/>
      <w:bCs/>
      <w:kern w:val="44"/>
      <w:sz w:val="44"/>
      <w:szCs w:val="44"/>
    </w:rPr>
  </w:style>
  <w:style w:type="paragraph" w:styleId="Heading2">
    <w:name w:val="heading 2"/>
    <w:basedOn w:val="Normal"/>
    <w:next w:val="Normal"/>
    <w:qFormat/>
    <w:rsid w:val="00A60894"/>
    <w:pPr>
      <w:keepNext/>
      <w:spacing w:before="240" w:after="60"/>
      <w:jc w:val="both"/>
      <w:outlineLvl w:val="1"/>
    </w:pPr>
    <w:rPr>
      <w:rFonts w:ascii="Arial" w:eastAsia="Times New Roman" w:hAnsi="Arial" w:cs="Arial"/>
      <w:b/>
      <w:bCs/>
      <w:i/>
      <w:iCs/>
      <w:sz w:val="28"/>
      <w:szCs w:val="28"/>
      <w:lang w:bidi="he-IL"/>
    </w:rPr>
  </w:style>
  <w:style w:type="paragraph" w:styleId="Heading3">
    <w:name w:val="heading 3"/>
    <w:basedOn w:val="Normal"/>
    <w:next w:val="Normal"/>
    <w:qFormat/>
    <w:rsid w:val="005C7573"/>
    <w:pPr>
      <w:keepNext/>
      <w:keepLines/>
      <w:spacing w:before="260" w:after="260" w:line="416" w:lineRule="auto"/>
      <w:outlineLvl w:val="2"/>
    </w:pPr>
    <w:rPr>
      <w:b/>
      <w:bCs/>
      <w:sz w:val="32"/>
      <w:szCs w:val="32"/>
    </w:rPr>
  </w:style>
  <w:style w:type="paragraph" w:styleId="Heading4">
    <w:name w:val="heading 4"/>
    <w:basedOn w:val="Normal"/>
    <w:next w:val="Normal"/>
    <w:qFormat/>
    <w:rsid w:val="005C7573"/>
    <w:pPr>
      <w:keepNext/>
      <w:keepLines/>
      <w:spacing w:before="280" w:after="290" w:line="376" w:lineRule="auto"/>
      <w:outlineLvl w:val="3"/>
    </w:pPr>
    <w:rPr>
      <w:rFonts w:ascii="Arial" w:eastAsia="SimHei" w:hAnsi="Arial"/>
      <w:b/>
      <w:bCs/>
      <w:sz w:val="28"/>
      <w:szCs w:val="28"/>
    </w:rPr>
  </w:style>
  <w:style w:type="paragraph" w:styleId="Heading6">
    <w:name w:val="heading 6"/>
    <w:basedOn w:val="Normal"/>
    <w:next w:val="Normal"/>
    <w:qFormat/>
    <w:rsid w:val="005C7573"/>
    <w:pPr>
      <w:keepNext/>
      <w:keepLines/>
      <w:spacing w:before="240" w:after="64" w:line="320" w:lineRule="auto"/>
      <w:outlineLvl w:val="5"/>
    </w:pPr>
    <w:rPr>
      <w:rFonts w:ascii="Arial" w:eastAsia="SimHei" w:hAnsi="Arial"/>
      <w:b/>
      <w:bCs/>
      <w:sz w:val="24"/>
      <w:szCs w:val="24"/>
    </w:rPr>
  </w:style>
  <w:style w:type="paragraph" w:styleId="Heading7">
    <w:name w:val="heading 7"/>
    <w:basedOn w:val="Normal"/>
    <w:next w:val="Normal"/>
    <w:qFormat/>
    <w:rsid w:val="005C7573"/>
    <w:pPr>
      <w:keepNext/>
      <w:keepLines/>
      <w:spacing w:before="240" w:after="64" w:line="320" w:lineRule="auto"/>
      <w:outlineLvl w:val="6"/>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31139"/>
    <w:pPr>
      <w:spacing w:line="240" w:lineRule="exact"/>
    </w:pPr>
    <w:rPr>
      <w:sz w:val="28"/>
    </w:rPr>
  </w:style>
  <w:style w:type="paragraph" w:styleId="Header">
    <w:name w:val="header"/>
    <w:basedOn w:val="Normal"/>
    <w:rsid w:val="00E31139"/>
    <w:pPr>
      <w:pBdr>
        <w:bottom w:val="single" w:sz="6" w:space="1" w:color="auto"/>
      </w:pBdr>
      <w:tabs>
        <w:tab w:val="center" w:pos="4153"/>
        <w:tab w:val="right" w:pos="8306"/>
      </w:tabs>
      <w:snapToGrid w:val="0"/>
      <w:jc w:val="center"/>
    </w:pPr>
    <w:rPr>
      <w:sz w:val="18"/>
      <w:szCs w:val="18"/>
    </w:rPr>
  </w:style>
  <w:style w:type="paragraph" w:styleId="Footer">
    <w:name w:val="footer"/>
    <w:basedOn w:val="Normal"/>
    <w:link w:val="FooterChar"/>
    <w:uiPriority w:val="99"/>
    <w:rsid w:val="00E31139"/>
    <w:pPr>
      <w:tabs>
        <w:tab w:val="center" w:pos="4153"/>
        <w:tab w:val="right" w:pos="8306"/>
      </w:tabs>
      <w:snapToGrid w:val="0"/>
    </w:pPr>
    <w:rPr>
      <w:sz w:val="18"/>
      <w:szCs w:val="18"/>
    </w:rPr>
  </w:style>
  <w:style w:type="character" w:styleId="Hyperlink">
    <w:name w:val="Hyperlink"/>
    <w:basedOn w:val="DefaultParagraphFont"/>
    <w:rsid w:val="00D5413E"/>
    <w:rPr>
      <w:color w:val="0000FF"/>
      <w:u w:val="single"/>
    </w:rPr>
  </w:style>
  <w:style w:type="paragraph" w:styleId="BalloonText">
    <w:name w:val="Balloon Text"/>
    <w:basedOn w:val="Normal"/>
    <w:link w:val="BalloonTextChar"/>
    <w:rsid w:val="007E7119"/>
    <w:rPr>
      <w:rFonts w:ascii="Tahoma" w:hAnsi="Tahoma" w:cs="Tahoma"/>
      <w:sz w:val="16"/>
      <w:szCs w:val="16"/>
    </w:rPr>
  </w:style>
  <w:style w:type="character" w:customStyle="1" w:styleId="BalloonTextChar">
    <w:name w:val="Balloon Text Char"/>
    <w:basedOn w:val="DefaultParagraphFont"/>
    <w:link w:val="BalloonText"/>
    <w:rsid w:val="007E7119"/>
    <w:rPr>
      <w:rFonts w:ascii="Tahoma" w:hAnsi="Tahoma" w:cs="Tahoma"/>
      <w:sz w:val="16"/>
      <w:szCs w:val="16"/>
      <w:lang w:bidi="ar-SA"/>
    </w:rPr>
  </w:style>
  <w:style w:type="character" w:styleId="CommentReference">
    <w:name w:val="annotation reference"/>
    <w:basedOn w:val="DefaultParagraphFont"/>
    <w:rsid w:val="00860E9C"/>
    <w:rPr>
      <w:sz w:val="21"/>
      <w:szCs w:val="21"/>
    </w:rPr>
  </w:style>
  <w:style w:type="paragraph" w:styleId="CommentText">
    <w:name w:val="annotation text"/>
    <w:basedOn w:val="Normal"/>
    <w:link w:val="CommentTextChar"/>
    <w:rsid w:val="00860E9C"/>
  </w:style>
  <w:style w:type="character" w:customStyle="1" w:styleId="CommentTextChar">
    <w:name w:val="Comment Text Char"/>
    <w:basedOn w:val="DefaultParagraphFont"/>
    <w:link w:val="CommentText"/>
    <w:rsid w:val="00860E9C"/>
    <w:rPr>
      <w:lang w:eastAsia="en-US"/>
    </w:rPr>
  </w:style>
  <w:style w:type="paragraph" w:styleId="CommentSubject">
    <w:name w:val="annotation subject"/>
    <w:basedOn w:val="CommentText"/>
    <w:next w:val="CommentText"/>
    <w:link w:val="CommentSubjectChar"/>
    <w:rsid w:val="00860E9C"/>
    <w:rPr>
      <w:b/>
      <w:bCs/>
    </w:rPr>
  </w:style>
  <w:style w:type="character" w:customStyle="1" w:styleId="CommentSubjectChar">
    <w:name w:val="Comment Subject Char"/>
    <w:basedOn w:val="CommentTextChar"/>
    <w:link w:val="CommentSubject"/>
    <w:rsid w:val="00860E9C"/>
    <w:rPr>
      <w:b/>
      <w:bCs/>
      <w:lang w:eastAsia="en-US"/>
    </w:rPr>
  </w:style>
  <w:style w:type="character" w:customStyle="1" w:styleId="FooterChar">
    <w:name w:val="Footer Char"/>
    <w:basedOn w:val="DefaultParagraphFont"/>
    <w:link w:val="Footer"/>
    <w:uiPriority w:val="99"/>
    <w:rsid w:val="00415CA1"/>
    <w:rPr>
      <w:sz w:val="18"/>
      <w:szCs w:val="18"/>
      <w:lang w:eastAsia="en-US"/>
    </w:rPr>
  </w:style>
  <w:style w:type="paragraph" w:styleId="FootnoteText">
    <w:name w:val="footnote text"/>
    <w:basedOn w:val="Normal"/>
    <w:link w:val="FootnoteTextChar"/>
    <w:rsid w:val="00A43C0E"/>
    <w:pPr>
      <w:snapToGrid w:val="0"/>
    </w:pPr>
    <w:rPr>
      <w:sz w:val="18"/>
      <w:szCs w:val="18"/>
    </w:rPr>
  </w:style>
  <w:style w:type="character" w:customStyle="1" w:styleId="FootnoteTextChar">
    <w:name w:val="Footnote Text Char"/>
    <w:basedOn w:val="DefaultParagraphFont"/>
    <w:link w:val="FootnoteText"/>
    <w:rsid w:val="00A43C0E"/>
    <w:rPr>
      <w:sz w:val="18"/>
      <w:szCs w:val="18"/>
      <w:lang w:eastAsia="en-US"/>
    </w:rPr>
  </w:style>
  <w:style w:type="character" w:styleId="FootnoteReference">
    <w:name w:val="footnote reference"/>
    <w:basedOn w:val="DefaultParagraphFont"/>
    <w:rsid w:val="00A43C0E"/>
    <w:rPr>
      <w:vertAlign w:val="superscript"/>
    </w:rPr>
  </w:style>
  <w:style w:type="paragraph" w:styleId="EndnoteText">
    <w:name w:val="endnote text"/>
    <w:basedOn w:val="Normal"/>
    <w:link w:val="EndnoteTextChar"/>
    <w:rsid w:val="00147F9C"/>
    <w:pPr>
      <w:snapToGrid w:val="0"/>
    </w:pPr>
  </w:style>
  <w:style w:type="character" w:customStyle="1" w:styleId="EndnoteTextChar">
    <w:name w:val="Endnote Text Char"/>
    <w:basedOn w:val="DefaultParagraphFont"/>
    <w:link w:val="EndnoteText"/>
    <w:rsid w:val="00147F9C"/>
    <w:rPr>
      <w:lang w:eastAsia="en-US"/>
    </w:rPr>
  </w:style>
  <w:style w:type="character" w:styleId="EndnoteReference">
    <w:name w:val="endnote reference"/>
    <w:basedOn w:val="DefaultParagraphFont"/>
    <w:rsid w:val="00147F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63B9C-2CBA-43A5-97A4-D0E840236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Title: A Human Tumor Genome Project: From Sequence to Structure, Function And Possibly Drug Targets</vt:lpstr>
    </vt:vector>
  </TitlesOfParts>
  <Company>MC SYSTEM</Company>
  <LinksUpToDate>false</LinksUpToDate>
  <CharactersWithSpaces>5733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A Human Tumor Genome Project: From Sequence to Structure, Function And Possibly Drug Targets</dc:title>
  <dc:creator>MC SYSTEM</dc:creator>
  <cp:lastModifiedBy>purnima</cp:lastModifiedBy>
  <cp:revision>2</cp:revision>
  <dcterms:created xsi:type="dcterms:W3CDTF">2023-04-19T09:04:00Z</dcterms:created>
  <dcterms:modified xsi:type="dcterms:W3CDTF">2023-04-19T09:04:00Z</dcterms:modified>
</cp:coreProperties>
</file>