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4153" w:rsidRDefault="007B281F" w:rsidP="00E34153">
      <w:pPr>
        <w:bidi w:val="0"/>
        <w:spacing w:line="360" w:lineRule="auto"/>
        <w:ind w:left="-144" w:right="-288"/>
        <w:jc w:val="center"/>
        <w:rPr>
          <w:rFonts w:asciiTheme="majorBidi" w:hAnsiTheme="majorBidi" w:cstheme="majorBidi"/>
          <w:b/>
          <w:bCs/>
          <w:sz w:val="36"/>
          <w:szCs w:val="36"/>
          <w:lang w:bidi="ar-EG"/>
        </w:rPr>
      </w:pPr>
      <w:r w:rsidRPr="008E526D"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Value of thrombomodulin as a diagnostic and prognostic marker for sepsis in critically ill </w:t>
      </w:r>
      <w:r w:rsidR="00E34153"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  </w:t>
      </w:r>
    </w:p>
    <w:p w:rsidR="007B281F" w:rsidRPr="00E34153" w:rsidRDefault="007B281F" w:rsidP="00E34153">
      <w:pPr>
        <w:bidi w:val="0"/>
        <w:spacing w:line="360" w:lineRule="auto"/>
        <w:ind w:left="-144" w:right="-288"/>
        <w:jc w:val="center"/>
        <w:rPr>
          <w:rFonts w:asciiTheme="majorBidi" w:hAnsiTheme="majorBidi" w:cstheme="majorBidi"/>
          <w:b/>
          <w:bCs/>
          <w:sz w:val="36"/>
          <w:szCs w:val="36"/>
          <w:lang w:bidi="ar-EG"/>
        </w:rPr>
      </w:pPr>
      <w:r>
        <w:rPr>
          <w:b/>
          <w:bCs/>
          <w:sz w:val="23"/>
          <w:szCs w:val="23"/>
        </w:rPr>
        <w:t xml:space="preserve">Ahmed el mohamady Mahfouz 1 </w:t>
      </w:r>
    </w:p>
    <w:p w:rsidR="007B281F" w:rsidRDefault="007B281F" w:rsidP="007B281F">
      <w:pPr>
        <w:pStyle w:val="Default"/>
        <w:spacing w:line="360" w:lineRule="auto"/>
        <w:rPr>
          <w:b/>
          <w:bCs/>
          <w:sz w:val="23"/>
          <w:szCs w:val="23"/>
        </w:rPr>
      </w:pPr>
    </w:p>
    <w:p w:rsidR="007B281F" w:rsidRPr="000B0755" w:rsidRDefault="007B281F" w:rsidP="000B0755">
      <w:pPr>
        <w:bidi w:val="0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1 </w:t>
      </w:r>
      <w:r>
        <w:rPr>
          <w:sz w:val="20"/>
          <w:szCs w:val="20"/>
        </w:rPr>
        <w:t>Department of Pediatrics, Faculty of Medicine, Menoufia University, Menoufia, Egypt</w:t>
      </w:r>
    </w:p>
    <w:p w:rsidR="007B281F" w:rsidRPr="00337B05" w:rsidRDefault="007B281F" w:rsidP="007B281F">
      <w:pPr>
        <w:bidi w:val="0"/>
        <w:ind w:firstLine="720"/>
        <w:jc w:val="both"/>
        <w:rPr>
          <w:rFonts w:asciiTheme="majorBidi" w:hAnsiTheme="majorBidi" w:cstheme="majorBidi"/>
          <w:color w:val="FF0000"/>
          <w:sz w:val="32"/>
          <w:szCs w:val="32"/>
          <w:lang w:bidi="ar-EG"/>
        </w:rPr>
      </w:pPr>
      <w:r w:rsidRPr="00337B05">
        <w:rPr>
          <w:rFonts w:asciiTheme="majorBidi" w:hAnsiTheme="majorBidi" w:cstheme="majorBidi"/>
          <w:color w:val="FF0000"/>
          <w:sz w:val="32"/>
          <w:szCs w:val="32"/>
          <w:lang w:bidi="ar-EG"/>
        </w:rPr>
        <w:br w:type="page"/>
      </w:r>
    </w:p>
    <w:p w:rsidR="007B281F" w:rsidRPr="000A5BE5" w:rsidRDefault="007B281F" w:rsidP="007B281F">
      <w:pPr>
        <w:bidi w:val="0"/>
        <w:spacing w:after="100" w:afterAutospacing="1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0A5BE5">
        <w:rPr>
          <w:rFonts w:asciiTheme="majorBidi" w:hAnsiTheme="majorBidi" w:cstheme="majorBidi"/>
          <w:b/>
          <w:bCs/>
          <w:sz w:val="28"/>
          <w:szCs w:val="28"/>
          <w:lang w:bidi="ar-EG"/>
        </w:rPr>
        <w:t>Abstract</w:t>
      </w:r>
    </w:p>
    <w:p w:rsidR="007B281F" w:rsidRDefault="007B281F" w:rsidP="007B281F">
      <w:pPr>
        <w:bidi w:val="0"/>
        <w:spacing w:after="100" w:afterAutospacing="1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Background</w:t>
      </w:r>
      <w:r w:rsidRPr="00DC4380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 w:rsidRPr="00E84207">
        <w:rPr>
          <w:rFonts w:asciiTheme="majorBidi" w:hAnsiTheme="majorBidi" w:cstheme="majorBidi"/>
          <w:sz w:val="24"/>
          <w:szCs w:val="24"/>
        </w:rPr>
        <w:t xml:space="preserve">Pediatric sepsis is life-threatening organ dysfunction and a leading cause of death for children. </w:t>
      </w:r>
    </w:p>
    <w:p w:rsidR="007B281F" w:rsidRPr="00E84207" w:rsidRDefault="007B281F" w:rsidP="007B281F">
      <w:pPr>
        <w:bidi w:val="0"/>
        <w:spacing w:after="100" w:afterAutospacing="1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7B281F">
        <w:rPr>
          <w:rFonts w:asciiTheme="majorBidi" w:hAnsiTheme="majorBidi" w:cstheme="majorBidi"/>
          <w:b/>
          <w:bCs/>
          <w:sz w:val="24"/>
          <w:szCs w:val="24"/>
        </w:rPr>
        <w:t>Aim</w:t>
      </w:r>
      <w:r>
        <w:rPr>
          <w:rFonts w:asciiTheme="majorBidi" w:hAnsiTheme="majorBidi" w:cstheme="majorBidi"/>
          <w:sz w:val="24"/>
          <w:szCs w:val="24"/>
        </w:rPr>
        <w:t>:</w:t>
      </w:r>
      <w:r w:rsidRPr="00E84207">
        <w:rPr>
          <w:rFonts w:asciiTheme="majorBidi" w:hAnsiTheme="majorBidi" w:cstheme="majorBidi"/>
          <w:sz w:val="24"/>
          <w:szCs w:val="24"/>
        </w:rPr>
        <w:t xml:space="preserve"> to assess the role</w:t>
      </w:r>
      <w:r w:rsidRPr="00E84207">
        <w:rPr>
          <w:rFonts w:asciiTheme="majorBidi" w:hAnsiTheme="majorBidi" w:cstheme="majorBidi"/>
          <w:sz w:val="24"/>
          <w:szCs w:val="24"/>
          <w:lang w:bidi="ar-EG"/>
        </w:rPr>
        <w:t xml:space="preserve"> serum thrombomodulin in the diagnosis and prediction of mortality in pediatric septic cases.</w:t>
      </w:r>
    </w:p>
    <w:p w:rsidR="007B281F" w:rsidRDefault="007B281F" w:rsidP="007B281F">
      <w:pPr>
        <w:pStyle w:val="Default"/>
        <w:spacing w:line="480" w:lineRule="auto"/>
        <w:jc w:val="both"/>
        <w:rPr>
          <w:rFonts w:asciiTheme="majorBidi" w:hAnsiTheme="majorBidi" w:cstheme="majorBidi"/>
        </w:rPr>
      </w:pPr>
      <w:r w:rsidRPr="00D073EB">
        <w:rPr>
          <w:rFonts w:asciiTheme="majorBidi" w:hAnsiTheme="majorBidi" w:cstheme="majorBidi"/>
          <w:b/>
          <w:bCs/>
        </w:rPr>
        <w:t>Methods</w:t>
      </w:r>
      <w:r w:rsidRPr="00D073EB">
        <w:rPr>
          <w:rFonts w:asciiTheme="majorBidi" w:hAnsiTheme="majorBidi" w:cstheme="majorBidi"/>
        </w:rPr>
        <w:t xml:space="preserve">: </w:t>
      </w:r>
      <w:r>
        <w:rPr>
          <w:rFonts w:asciiTheme="majorBidi" w:hAnsiTheme="majorBidi" w:cstheme="majorBidi"/>
        </w:rPr>
        <w:t xml:space="preserve">This </w:t>
      </w:r>
      <w:r w:rsidRPr="00D073EB">
        <w:rPr>
          <w:rFonts w:asciiTheme="majorBidi" w:hAnsiTheme="majorBidi" w:cstheme="majorBidi"/>
        </w:rPr>
        <w:t>a prospective cohort study</w:t>
      </w:r>
      <w:r>
        <w:rPr>
          <w:rFonts w:asciiTheme="majorBidi" w:hAnsiTheme="majorBidi" w:cstheme="majorBidi"/>
        </w:rPr>
        <w:t xml:space="preserve"> </w:t>
      </w:r>
      <w:r w:rsidRPr="00D073EB">
        <w:rPr>
          <w:rFonts w:asciiTheme="majorBidi" w:hAnsiTheme="majorBidi" w:cstheme="majorBidi"/>
        </w:rPr>
        <w:t xml:space="preserve">carried out at the pediatric intensive care unit </w:t>
      </w:r>
      <w:r>
        <w:rPr>
          <w:rFonts w:asciiTheme="majorBidi" w:hAnsiTheme="majorBidi" w:cstheme="majorBidi"/>
        </w:rPr>
        <w:t>(</w:t>
      </w:r>
      <w:r w:rsidRPr="00D073EB">
        <w:rPr>
          <w:rFonts w:asciiTheme="majorBidi" w:hAnsiTheme="majorBidi" w:cstheme="majorBidi"/>
        </w:rPr>
        <w:t>PICU)</w:t>
      </w:r>
      <w:r>
        <w:rPr>
          <w:rFonts w:asciiTheme="majorBidi" w:hAnsiTheme="majorBidi" w:cstheme="majorBidi"/>
        </w:rPr>
        <w:t xml:space="preserve"> </w:t>
      </w:r>
      <w:r w:rsidRPr="00D073EB">
        <w:rPr>
          <w:rFonts w:asciiTheme="majorBidi" w:hAnsiTheme="majorBidi" w:cstheme="majorBidi"/>
        </w:rPr>
        <w:t>o</w:t>
      </w:r>
      <w:r>
        <w:rPr>
          <w:rFonts w:asciiTheme="majorBidi" w:hAnsiTheme="majorBidi" w:cstheme="majorBidi"/>
        </w:rPr>
        <w:t>f Menoufia University Hospital.</w:t>
      </w:r>
      <w:r w:rsidRPr="00D073EB">
        <w:rPr>
          <w:rFonts w:asciiTheme="majorBidi" w:hAnsiTheme="majorBidi" w:cstheme="majorBidi"/>
        </w:rPr>
        <w:t xml:space="preserve"> We included 70</w:t>
      </w:r>
      <w:r>
        <w:rPr>
          <w:rFonts w:asciiTheme="majorBidi" w:hAnsiTheme="majorBidi" w:cstheme="majorBidi"/>
        </w:rPr>
        <w:t xml:space="preserve"> critically ill</w:t>
      </w:r>
      <w:r w:rsidRPr="00D073EB">
        <w:rPr>
          <w:rFonts w:asciiTheme="majorBidi" w:hAnsiTheme="majorBidi" w:cstheme="majorBidi"/>
        </w:rPr>
        <w:t xml:space="preserve"> patients admitted to </w:t>
      </w:r>
      <w:r>
        <w:rPr>
          <w:rFonts w:asciiTheme="majorBidi" w:hAnsiTheme="majorBidi" w:cstheme="majorBidi"/>
        </w:rPr>
        <w:t xml:space="preserve">PICU </w:t>
      </w:r>
      <w:r w:rsidRPr="00D073EB">
        <w:rPr>
          <w:rFonts w:asciiTheme="majorBidi" w:hAnsiTheme="majorBidi" w:cstheme="majorBidi"/>
        </w:rPr>
        <w:t xml:space="preserve">and </w:t>
      </w:r>
      <w:r>
        <w:rPr>
          <w:rFonts w:asciiTheme="majorBidi" w:hAnsiTheme="majorBidi" w:cstheme="majorBidi"/>
        </w:rPr>
        <w:t>25</w:t>
      </w:r>
      <w:r w:rsidRPr="00D073EB">
        <w:rPr>
          <w:rFonts w:asciiTheme="majorBidi" w:hAnsiTheme="majorBidi" w:cstheme="majorBidi"/>
        </w:rPr>
        <w:t xml:space="preserve"> apparently healthy controls from</w:t>
      </w:r>
      <w:r w:rsidRPr="00E54088">
        <w:rPr>
          <w:rFonts w:asciiTheme="majorBidi" w:hAnsiTheme="majorBidi" w:cstheme="majorBidi"/>
          <w:lang w:bidi="ar-EG"/>
        </w:rPr>
        <w:t xml:space="preserve"> </w:t>
      </w:r>
      <w:r w:rsidRPr="00F33F6E">
        <w:rPr>
          <w:rFonts w:asciiTheme="majorBidi" w:hAnsiTheme="majorBidi" w:cstheme="majorBidi"/>
          <w:lang w:bidi="ar-EG"/>
        </w:rPr>
        <w:t>October 2018 to September 2019</w:t>
      </w:r>
      <w:r w:rsidRPr="00D073EB">
        <w:rPr>
          <w:rFonts w:asciiTheme="majorBidi" w:hAnsiTheme="majorBidi" w:cstheme="majorBidi"/>
        </w:rPr>
        <w:t>. Clinical examination was performed including calculation of the Pediatric Risk of Mortality and Pediatric Index of Mortality II. Serum</w:t>
      </w:r>
      <w:r>
        <w:rPr>
          <w:rFonts w:asciiTheme="majorBidi" w:hAnsiTheme="majorBidi" w:cstheme="majorBidi"/>
        </w:rPr>
        <w:t xml:space="preserve"> Thrombomodulin</w:t>
      </w:r>
      <w:r w:rsidRPr="00D073EB">
        <w:rPr>
          <w:rFonts w:asciiTheme="majorBidi" w:hAnsiTheme="majorBidi" w:cstheme="majorBidi"/>
        </w:rPr>
        <w:t xml:space="preserve"> was performed for patients at admission and for the controls. Patients were followed up for 30 days. </w:t>
      </w:r>
    </w:p>
    <w:p w:rsidR="007B281F" w:rsidRDefault="007B281F" w:rsidP="007B281F">
      <w:pPr>
        <w:pStyle w:val="Default"/>
        <w:spacing w:line="480" w:lineRule="auto"/>
        <w:jc w:val="both"/>
        <w:rPr>
          <w:rFonts w:asciiTheme="majorBidi" w:hAnsiTheme="majorBidi" w:cstheme="majorBidi"/>
          <w:color w:val="auto"/>
        </w:rPr>
      </w:pPr>
      <w:r w:rsidRPr="00D073EB">
        <w:rPr>
          <w:rFonts w:asciiTheme="majorBidi" w:hAnsiTheme="majorBidi" w:cstheme="majorBidi"/>
          <w:b/>
          <w:bCs/>
        </w:rPr>
        <w:t xml:space="preserve">Results: </w:t>
      </w:r>
      <w:r w:rsidRPr="004E36DE">
        <w:rPr>
          <w:rFonts w:asciiTheme="majorBidi" w:hAnsiTheme="majorBidi" w:cstheme="majorBidi"/>
        </w:rPr>
        <w:t xml:space="preserve">Serum </w:t>
      </w:r>
      <w:r>
        <w:rPr>
          <w:rFonts w:asciiTheme="majorBidi" w:hAnsiTheme="majorBidi" w:cstheme="majorBidi"/>
        </w:rPr>
        <w:t>Thrombomodulin</w:t>
      </w:r>
      <w:r w:rsidRPr="00D073EB"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level was significantly higher among the total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patient cohort and those with systemic inflammatory response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syndrome</w:t>
      </w:r>
      <w:r>
        <w:rPr>
          <w:rFonts w:asciiTheme="majorBidi" w:hAnsiTheme="majorBidi" w:cstheme="majorBidi"/>
        </w:rPr>
        <w:t>,</w:t>
      </w:r>
      <w:r w:rsidRPr="004E36DE">
        <w:rPr>
          <w:rFonts w:asciiTheme="majorBidi" w:hAnsiTheme="majorBidi" w:cstheme="majorBidi"/>
        </w:rPr>
        <w:t xml:space="preserve"> sepsis</w:t>
      </w:r>
      <w:r>
        <w:rPr>
          <w:rFonts w:asciiTheme="majorBidi" w:hAnsiTheme="majorBidi" w:cstheme="majorBidi"/>
        </w:rPr>
        <w:t xml:space="preserve"> and severe sepsis</w:t>
      </w:r>
      <w:r w:rsidRPr="004E36DE">
        <w:rPr>
          <w:rFonts w:asciiTheme="majorBidi" w:hAnsiTheme="majorBidi" w:cstheme="majorBidi"/>
        </w:rPr>
        <w:t xml:space="preserve"> than among the controls (</w:t>
      </w:r>
      <w:r w:rsidRPr="004E36DE">
        <w:rPr>
          <w:rFonts w:asciiTheme="majorBidi" w:hAnsiTheme="majorBidi" w:cstheme="majorBidi"/>
          <w:i/>
          <w:iCs/>
        </w:rPr>
        <w:t xml:space="preserve">p </w:t>
      </w:r>
      <w:r w:rsidRPr="004E36DE">
        <w:rPr>
          <w:rFonts w:asciiTheme="majorBidi" w:hAnsiTheme="majorBidi" w:cstheme="majorBidi"/>
        </w:rPr>
        <w:t>&lt; 0.001), Furthermore,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 xml:space="preserve">Serum </w:t>
      </w:r>
      <w:r>
        <w:rPr>
          <w:rFonts w:asciiTheme="majorBidi" w:hAnsiTheme="majorBidi" w:cstheme="majorBidi"/>
        </w:rPr>
        <w:t>Thrombomodulin</w:t>
      </w:r>
      <w:r w:rsidRPr="00D073EB"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was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significantly elevated in non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survivors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compared with survivors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(</w:t>
      </w:r>
      <w:r w:rsidRPr="00973AE8">
        <w:rPr>
          <w:rFonts w:asciiTheme="majorBidi" w:hAnsiTheme="majorBidi" w:cstheme="majorBidi"/>
          <w:i/>
          <w:iCs/>
          <w:color w:val="auto"/>
        </w:rPr>
        <w:t xml:space="preserve">p </w:t>
      </w:r>
      <w:r w:rsidRPr="00973AE8">
        <w:rPr>
          <w:rFonts w:asciiTheme="majorBidi" w:hAnsiTheme="majorBidi" w:cstheme="majorBidi"/>
          <w:color w:val="auto"/>
        </w:rPr>
        <w:t xml:space="preserve">0. </w:t>
      </w:r>
      <w:r>
        <w:rPr>
          <w:rFonts w:asciiTheme="majorBidi" w:hAnsiTheme="majorBidi" w:cstheme="majorBidi"/>
          <w:color w:val="auto"/>
        </w:rPr>
        <w:t>005</w:t>
      </w:r>
      <w:r w:rsidRPr="004E36DE">
        <w:rPr>
          <w:rFonts w:asciiTheme="majorBidi" w:hAnsiTheme="majorBidi" w:cstheme="majorBidi"/>
        </w:rPr>
        <w:t>). Receiver-operating characteristic curve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analysis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exhibited an area under the curve</w:t>
      </w:r>
      <w:r>
        <w:rPr>
          <w:rFonts w:asciiTheme="majorBidi" w:hAnsiTheme="majorBidi" w:cstheme="majorBidi"/>
        </w:rPr>
        <w:t xml:space="preserve"> (AUC)</w:t>
      </w:r>
      <w:r w:rsidRPr="004E36DE">
        <w:rPr>
          <w:rFonts w:asciiTheme="majorBidi" w:hAnsiTheme="majorBidi" w:cstheme="majorBidi"/>
        </w:rPr>
        <w:t xml:space="preserve"> of </w:t>
      </w:r>
      <w:r w:rsidRPr="003B2184">
        <w:rPr>
          <w:rFonts w:asciiTheme="majorBidi" w:hAnsiTheme="majorBidi" w:cstheme="majorBidi"/>
        </w:rPr>
        <w:t>0.915</w:t>
      </w:r>
      <w:r w:rsidRPr="004E36DE">
        <w:rPr>
          <w:rFonts w:asciiTheme="majorBidi" w:hAnsiTheme="majorBidi" w:cstheme="majorBidi"/>
        </w:rPr>
        <w:t xml:space="preserve"> for </w:t>
      </w:r>
      <w:r>
        <w:rPr>
          <w:rFonts w:asciiTheme="majorBidi" w:hAnsiTheme="majorBidi" w:cstheme="majorBidi"/>
        </w:rPr>
        <w:t>Thrombomodulin</w:t>
      </w:r>
      <w:r w:rsidRPr="00D073E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for prediction</w:t>
      </w:r>
      <w:r w:rsidRPr="004E36DE">
        <w:rPr>
          <w:rFonts w:asciiTheme="majorBidi" w:hAnsiTheme="majorBidi" w:cstheme="majorBidi"/>
        </w:rPr>
        <w:t xml:space="preserve"> of sepsis, whereas C-reactive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 xml:space="preserve">protein had </w:t>
      </w:r>
      <w:r>
        <w:rPr>
          <w:rFonts w:asciiTheme="majorBidi" w:hAnsiTheme="majorBidi" w:cstheme="majorBidi"/>
        </w:rPr>
        <w:t>AUC</w:t>
      </w:r>
      <w:r w:rsidRPr="004E36D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olor w:val="auto"/>
        </w:rPr>
        <w:t xml:space="preserve">of 0.789 </w:t>
      </w:r>
      <w:r w:rsidRPr="004E36DE">
        <w:rPr>
          <w:rFonts w:asciiTheme="majorBidi" w:hAnsiTheme="majorBidi" w:cstheme="majorBidi"/>
        </w:rPr>
        <w:t>. Regarding the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 xml:space="preserve">prognosis, </w:t>
      </w:r>
      <w:r w:rsidRPr="00D073EB">
        <w:rPr>
          <w:rFonts w:asciiTheme="majorBidi" w:hAnsiTheme="majorBidi" w:cstheme="majorBidi"/>
        </w:rPr>
        <w:t xml:space="preserve">PIIINP </w:t>
      </w:r>
      <w:r w:rsidRPr="004E36DE">
        <w:rPr>
          <w:rFonts w:asciiTheme="majorBidi" w:hAnsiTheme="majorBidi" w:cstheme="majorBidi"/>
        </w:rPr>
        <w:t xml:space="preserve">had </w:t>
      </w:r>
      <w:r>
        <w:rPr>
          <w:rFonts w:asciiTheme="majorBidi" w:hAnsiTheme="majorBidi" w:cstheme="majorBidi"/>
        </w:rPr>
        <w:t>AUC</w:t>
      </w:r>
      <w:r w:rsidRPr="004E36DE">
        <w:rPr>
          <w:rFonts w:asciiTheme="majorBidi" w:hAnsiTheme="majorBidi" w:cstheme="majorBidi"/>
        </w:rPr>
        <w:t xml:space="preserve"> of </w:t>
      </w:r>
      <w:r w:rsidRPr="00973AE8">
        <w:rPr>
          <w:rFonts w:asciiTheme="majorBidi" w:hAnsiTheme="majorBidi" w:cstheme="majorBidi"/>
          <w:color w:val="auto"/>
        </w:rPr>
        <w:t>0.</w:t>
      </w:r>
      <w:r>
        <w:rPr>
          <w:rFonts w:asciiTheme="majorBidi" w:hAnsiTheme="majorBidi" w:cstheme="majorBidi"/>
          <w:color w:val="auto"/>
        </w:rPr>
        <w:t>711</w:t>
      </w:r>
      <w:r w:rsidRPr="004E36DE">
        <w:rPr>
          <w:rFonts w:asciiTheme="majorBidi" w:hAnsiTheme="majorBidi" w:cstheme="majorBidi"/>
        </w:rPr>
        <w:t xml:space="preserve"> for prediction of mortality, whereas the</w:t>
      </w:r>
      <w:r>
        <w:rPr>
          <w:rFonts w:asciiTheme="majorBidi" w:hAnsiTheme="majorBidi" w:cstheme="majorBidi"/>
        </w:rPr>
        <w:t xml:space="preserve"> AUC</w:t>
      </w:r>
      <w:r w:rsidRPr="004E36D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for Pediatric Risk of Mortality and</w:t>
      </w:r>
      <w:r w:rsidRPr="004E36DE">
        <w:rPr>
          <w:rFonts w:asciiTheme="majorBidi" w:hAnsiTheme="majorBidi" w:cstheme="majorBidi"/>
        </w:rPr>
        <w:t xml:space="preserve"> Pediatric Index</w:t>
      </w:r>
      <w:r>
        <w:rPr>
          <w:rFonts w:asciiTheme="majorBidi" w:hAnsiTheme="majorBidi" w:cstheme="majorBidi"/>
        </w:rPr>
        <w:t xml:space="preserve"> </w:t>
      </w:r>
      <w:r w:rsidRPr="004E36DE">
        <w:rPr>
          <w:rFonts w:asciiTheme="majorBidi" w:hAnsiTheme="majorBidi" w:cstheme="majorBidi"/>
        </w:rPr>
        <w:t>of Mor</w:t>
      </w:r>
      <w:r>
        <w:rPr>
          <w:rFonts w:asciiTheme="majorBidi" w:hAnsiTheme="majorBidi" w:cstheme="majorBidi"/>
        </w:rPr>
        <w:t xml:space="preserve">tality 2 </w:t>
      </w:r>
      <w:r w:rsidRPr="004E36DE">
        <w:rPr>
          <w:rFonts w:asciiTheme="majorBidi" w:hAnsiTheme="majorBidi" w:cstheme="majorBidi"/>
        </w:rPr>
        <w:t xml:space="preserve"> were </w:t>
      </w:r>
      <w:r w:rsidRPr="00D533C8">
        <w:rPr>
          <w:rFonts w:asciiTheme="majorBidi" w:hAnsiTheme="majorBidi" w:cstheme="majorBidi"/>
          <w:color w:val="auto"/>
        </w:rPr>
        <w:t>0.</w:t>
      </w:r>
      <w:r>
        <w:rPr>
          <w:rFonts w:asciiTheme="majorBidi" w:hAnsiTheme="majorBidi" w:cstheme="majorBidi"/>
          <w:color w:val="auto"/>
        </w:rPr>
        <w:t>918</w:t>
      </w:r>
      <w:r w:rsidRPr="00D533C8">
        <w:rPr>
          <w:rFonts w:asciiTheme="majorBidi" w:hAnsiTheme="majorBidi" w:cstheme="majorBidi"/>
          <w:color w:val="auto"/>
        </w:rPr>
        <w:t>, 0.96</w:t>
      </w:r>
      <w:r>
        <w:rPr>
          <w:rFonts w:asciiTheme="majorBidi" w:hAnsiTheme="majorBidi" w:cstheme="majorBidi"/>
          <w:color w:val="auto"/>
        </w:rPr>
        <w:t>0</w:t>
      </w:r>
      <w:r w:rsidRPr="00D533C8">
        <w:rPr>
          <w:rFonts w:asciiTheme="majorBidi" w:hAnsiTheme="majorBidi" w:cstheme="majorBidi"/>
          <w:color w:val="auto"/>
        </w:rPr>
        <w:t xml:space="preserve"> respectively.</w:t>
      </w:r>
    </w:p>
    <w:p w:rsidR="007B281F" w:rsidRPr="003B7885" w:rsidRDefault="007B281F" w:rsidP="007B281F">
      <w:pPr>
        <w:pStyle w:val="Default"/>
        <w:spacing w:line="480" w:lineRule="auto"/>
        <w:jc w:val="both"/>
        <w:rPr>
          <w:rFonts w:asciiTheme="majorBidi" w:hAnsiTheme="majorBidi" w:cstheme="majorBidi"/>
          <w:color w:val="auto"/>
        </w:rPr>
      </w:pPr>
      <w:r w:rsidRPr="004E36DE">
        <w:rPr>
          <w:rFonts w:asciiTheme="majorBidi" w:hAnsiTheme="majorBidi" w:cstheme="majorBidi"/>
          <w:b/>
          <w:bCs/>
        </w:rPr>
        <w:t>Conclusion</w:t>
      </w:r>
      <w:r w:rsidRPr="004E36DE">
        <w:rPr>
          <w:rFonts w:asciiTheme="majorBidi" w:hAnsiTheme="majorBidi" w:cstheme="majorBidi"/>
        </w:rPr>
        <w:t xml:space="preserve">: </w:t>
      </w:r>
      <w:r>
        <w:rPr>
          <w:rFonts w:asciiTheme="majorBidi" w:hAnsiTheme="majorBidi" w:cstheme="majorBidi"/>
        </w:rPr>
        <w:t xml:space="preserve">Serum Thrombomodulin is a promising </w:t>
      </w:r>
      <w:r w:rsidRPr="00D533C8">
        <w:rPr>
          <w:rFonts w:asciiTheme="majorBidi" w:hAnsiTheme="majorBidi" w:cstheme="majorBidi"/>
        </w:rPr>
        <w:t>marker for pediatric sepsis. T</w:t>
      </w:r>
      <w:r>
        <w:rPr>
          <w:rFonts w:asciiTheme="majorBidi" w:hAnsiTheme="majorBidi" w:cstheme="majorBidi"/>
        </w:rPr>
        <w:t>he data showed that serum Thrombomodulin</w:t>
      </w:r>
      <w:r w:rsidRPr="00D533C8">
        <w:rPr>
          <w:rFonts w:asciiTheme="majorBidi" w:hAnsiTheme="majorBidi" w:cstheme="majorBidi"/>
        </w:rPr>
        <w:t xml:space="preserve"> had added value for early diagnosis of sepsis in critically ill children.</w:t>
      </w:r>
    </w:p>
    <w:p w:rsidR="007B281F" w:rsidRPr="003B7885" w:rsidRDefault="007B281F" w:rsidP="007B281F">
      <w:pPr>
        <w:bidi w:val="0"/>
        <w:spacing w:before="100" w:beforeAutospacing="1" w:after="100" w:afterAutospacing="1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0" w:name="_Hlk6492364"/>
      <w:r w:rsidRPr="003B7885">
        <w:rPr>
          <w:rFonts w:asciiTheme="majorBidi" w:hAnsiTheme="majorBidi" w:cstheme="majorBidi"/>
          <w:b/>
          <w:bCs/>
          <w:sz w:val="24"/>
          <w:szCs w:val="24"/>
          <w:lang w:bidi="ar-EG"/>
        </w:rPr>
        <w:t>Key words</w:t>
      </w:r>
      <w:r>
        <w:rPr>
          <w:rFonts w:asciiTheme="majorBidi" w:hAnsiTheme="majorBidi" w:cstheme="majorBidi"/>
          <w:sz w:val="24"/>
          <w:szCs w:val="24"/>
          <w:lang w:bidi="ar-EG"/>
        </w:rPr>
        <w:t>: Thrombomodulin;</w:t>
      </w:r>
      <w:r w:rsidRPr="003B7885">
        <w:t xml:space="preserve"> </w:t>
      </w:r>
      <w:r w:rsidRPr="003B7885">
        <w:rPr>
          <w:rFonts w:asciiTheme="majorBidi" w:hAnsiTheme="majorBidi" w:cstheme="majorBidi"/>
          <w:sz w:val="24"/>
          <w:szCs w:val="24"/>
          <w:lang w:bidi="ar-EG"/>
        </w:rPr>
        <w:t>C-reactive protein</w:t>
      </w:r>
      <w:r>
        <w:rPr>
          <w:rFonts w:asciiTheme="majorBidi" w:hAnsiTheme="majorBidi" w:cstheme="majorBidi"/>
          <w:sz w:val="24"/>
          <w:szCs w:val="24"/>
          <w:lang w:bidi="ar-EG"/>
        </w:rPr>
        <w:t>; critically ill; Pediatric risk of mortality;</w:t>
      </w:r>
      <w:r w:rsidRPr="0003676B">
        <w:rPr>
          <w:sz w:val="23"/>
          <w:szCs w:val="23"/>
        </w:rPr>
        <w:t xml:space="preserve"> </w:t>
      </w:r>
      <w:r>
        <w:rPr>
          <w:sz w:val="23"/>
          <w:szCs w:val="23"/>
        </w:rPr>
        <w:t>Pediatric Index of Mortality 2;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sepsis.</w:t>
      </w:r>
    </w:p>
    <w:bookmarkEnd w:id="0"/>
    <w:p w:rsidR="003B4728" w:rsidRPr="007B281F" w:rsidRDefault="003B4728"/>
    <w:sectPr w:rsidR="003B4728" w:rsidRPr="007B2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B9F"/>
    <w:rsid w:val="000B0755"/>
    <w:rsid w:val="003B4728"/>
    <w:rsid w:val="007B281F"/>
    <w:rsid w:val="00E34153"/>
    <w:rsid w:val="00FE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469BF"/>
  <w15:chartTrackingRefBased/>
  <w15:docId w15:val="{127F3241-94FB-45F7-8F77-EF6D039B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81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281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A7MED MO7A</dc:creator>
  <cp:keywords/>
  <dc:description/>
  <cp:lastModifiedBy>Ahmed el mohamady</cp:lastModifiedBy>
  <cp:revision>2</cp:revision>
  <dcterms:created xsi:type="dcterms:W3CDTF">2022-12-16T11:43:00Z</dcterms:created>
  <dcterms:modified xsi:type="dcterms:W3CDTF">2022-12-16T11:43:00Z</dcterms:modified>
</cp:coreProperties>
</file>