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ind w:left="0" w:firstLine="0"/>
        <w:jc w:val="left"/>
        <w:rPr>
          <w:rFonts w:ascii="Times New Roman"/>
          <w:sz w:val="21"/>
        </w:rPr>
      </w:pPr>
    </w:p>
    <w:p>
      <w:pPr>
        <w:pStyle w:val="Title"/>
        <w:spacing w:line="230" w:lineRule="auto"/>
      </w:pPr>
      <w:r>
        <w:rPr>
          <w:color w:val="3379B7"/>
        </w:rPr>
        <w:t>Development of an Anti-Hyperglycemic Probiotic Pumpkin Juice</w:t>
      </w:r>
      <w:r>
        <w:rPr>
          <w:color w:val="3379B7"/>
          <w:spacing w:val="1"/>
        </w:rPr>
        <w:t> </w:t>
      </w:r>
      <w:r>
        <w:rPr>
          <w:color w:val="3379B7"/>
        </w:rPr>
        <w:t>Fermented</w:t>
      </w:r>
      <w:r>
        <w:rPr>
          <w:color w:val="3379B7"/>
          <w:spacing w:val="1"/>
        </w:rPr>
        <w:t> </w:t>
      </w:r>
      <w:r>
        <w:rPr>
          <w:color w:val="3379B7"/>
        </w:rPr>
        <w:t>by</w:t>
      </w:r>
      <w:r>
        <w:rPr>
          <w:color w:val="3379B7"/>
          <w:spacing w:val="-2"/>
        </w:rPr>
        <w:t> </w:t>
      </w:r>
      <w:r>
        <w:rPr>
          <w:color w:val="3379B7"/>
        </w:rPr>
        <w:t>a</w:t>
      </w:r>
      <w:r>
        <w:rPr>
          <w:color w:val="3379B7"/>
          <w:spacing w:val="-4"/>
        </w:rPr>
        <w:t> </w:t>
      </w:r>
      <w:r>
        <w:rPr>
          <w:color w:val="3379B7"/>
        </w:rPr>
        <w:t>Potential</w:t>
      </w:r>
      <w:r>
        <w:rPr>
          <w:color w:val="3379B7"/>
          <w:spacing w:val="-2"/>
        </w:rPr>
        <w:t> </w:t>
      </w:r>
      <w:r>
        <w:rPr>
          <w:color w:val="3379B7"/>
        </w:rPr>
        <w:t>Probiotic</w:t>
      </w:r>
      <w:r>
        <w:rPr>
          <w:color w:val="3379B7"/>
          <w:spacing w:val="-2"/>
        </w:rPr>
        <w:t> </w:t>
      </w:r>
      <w:r>
        <w:rPr>
          <w:color w:val="3379B7"/>
        </w:rPr>
        <w:t>Strain</w:t>
      </w:r>
      <w:r>
        <w:rPr>
          <w:color w:val="3379B7"/>
          <w:spacing w:val="1"/>
        </w:rPr>
        <w:t> </w:t>
      </w:r>
      <w:r>
        <w:rPr>
          <w:color w:val="3379B7"/>
        </w:rPr>
        <w:t>from</w:t>
      </w:r>
      <w:r>
        <w:rPr>
          <w:color w:val="3379B7"/>
          <w:spacing w:val="-2"/>
        </w:rPr>
        <w:t> </w:t>
      </w:r>
      <w:r>
        <w:rPr>
          <w:color w:val="3379B7"/>
        </w:rPr>
        <w:t>Water</w:t>
      </w:r>
      <w:r>
        <w:rPr>
          <w:color w:val="3379B7"/>
          <w:spacing w:val="-5"/>
        </w:rPr>
        <w:t> </w:t>
      </w:r>
      <w:r>
        <w:rPr>
          <w:color w:val="3379B7"/>
        </w:rPr>
        <w:t>Kefir</w:t>
      </w:r>
      <w:r>
        <w:rPr>
          <w:color w:val="3379B7"/>
          <w:spacing w:val="-5"/>
        </w:rPr>
        <w:t> </w:t>
      </w:r>
      <w:r>
        <w:rPr>
          <w:color w:val="3379B7"/>
        </w:rPr>
        <w:t>Grains</w:t>
      </w:r>
    </w:p>
    <w:p>
      <w:pPr>
        <w:pStyle w:val="BodyText"/>
        <w:spacing w:line="228" w:lineRule="auto" w:before="73"/>
        <w:ind w:left="220" w:right="6267" w:firstLine="0"/>
        <w:jc w:val="left"/>
        <w:rPr>
          <w:rFonts w:ascii="Arial MT"/>
        </w:rPr>
      </w:pPr>
      <w:r>
        <w:rPr>
          <w:rFonts w:ascii="Arial MT"/>
        </w:rPr>
        <w:t>Dr Koh Wee Yin, PhD, Faculty of Food Science and</w:t>
      </w:r>
      <w:r>
        <w:rPr>
          <w:rFonts w:ascii="Arial MT"/>
          <w:spacing w:val="1"/>
        </w:rPr>
        <w:t> </w:t>
      </w:r>
      <w:r>
        <w:rPr>
          <w:rFonts w:ascii="Arial MT"/>
        </w:rPr>
        <w:t>Nutrition, Universiti Malaysia Sabah, Jalan UMS, 88400</w:t>
      </w:r>
      <w:r>
        <w:rPr>
          <w:rFonts w:ascii="Arial MT"/>
          <w:spacing w:val="-47"/>
        </w:rPr>
        <w:t> </w:t>
      </w:r>
      <w:r>
        <w:rPr>
          <w:rFonts w:ascii="Arial MT"/>
        </w:rPr>
        <w:t>Kota Kinabalu, Sabah,</w:t>
      </w:r>
      <w:r>
        <w:rPr>
          <w:rFonts w:ascii="Arial MT"/>
          <w:spacing w:val="-1"/>
        </w:rPr>
        <w:t> </w:t>
      </w:r>
      <w:r>
        <w:rPr>
          <w:rFonts w:ascii="Arial MT"/>
        </w:rPr>
        <w:t>Malaysia.</w:t>
      </w:r>
    </w:p>
    <w:p>
      <w:pPr>
        <w:spacing w:before="8"/>
        <w:ind w:left="2727" w:right="0" w:firstLine="0"/>
        <w:jc w:val="left"/>
        <w:rPr>
          <w:rFonts w:ascii="Palatino Linotype"/>
          <w:sz w:val="16"/>
        </w:rPr>
      </w:pPr>
      <w:r>
        <w:rPr>
          <w:rFonts w:ascii="Palatino Linotype"/>
          <w:sz w:val="16"/>
        </w:rPr>
        <w:t>*</w:t>
      </w:r>
      <w:r>
        <w:rPr>
          <w:rFonts w:ascii="Palatino Linotype"/>
          <w:spacing w:val="50"/>
          <w:sz w:val="16"/>
        </w:rPr>
        <w:t> </w:t>
      </w:r>
      <w:r>
        <w:rPr>
          <w:rFonts w:ascii="Palatino Linotype"/>
          <w:sz w:val="16"/>
        </w:rPr>
        <w:t>Correspondence:</w:t>
      </w:r>
      <w:r>
        <w:rPr>
          <w:rFonts w:ascii="Palatino Linotype"/>
          <w:spacing w:val="-6"/>
          <w:sz w:val="16"/>
        </w:rPr>
        <w:t> </w:t>
      </w:r>
      <w:hyperlink r:id="rId5">
        <w:r>
          <w:rPr>
            <w:rFonts w:ascii="Palatino Linotype"/>
            <w:sz w:val="16"/>
          </w:rPr>
          <w:t>weeyin@ums.edu.my,</w:t>
        </w:r>
        <w:r>
          <w:rPr>
            <w:rFonts w:ascii="Palatino Linotype"/>
            <w:spacing w:val="-2"/>
            <w:sz w:val="16"/>
          </w:rPr>
          <w:t> </w:t>
        </w:r>
      </w:hyperlink>
      <w:r>
        <w:rPr>
          <w:rFonts w:ascii="Palatino Linotype"/>
          <w:sz w:val="16"/>
        </w:rPr>
        <w:t>Tel.:</w:t>
      </w:r>
      <w:r>
        <w:rPr>
          <w:rFonts w:ascii="Palatino Linotype"/>
          <w:spacing w:val="-1"/>
          <w:sz w:val="16"/>
        </w:rPr>
        <w:t> </w:t>
      </w:r>
      <w:r>
        <w:rPr>
          <w:rFonts w:ascii="Palatino Linotype"/>
          <w:sz w:val="16"/>
        </w:rPr>
        <w:t>+60179196280</w:t>
      </w:r>
    </w:p>
    <w:p>
      <w:pPr>
        <w:pStyle w:val="BodyText"/>
        <w:spacing w:before="1"/>
        <w:ind w:left="0" w:firstLine="0"/>
        <w:jc w:val="left"/>
        <w:rPr>
          <w:rFonts w:ascii="Palatino Linotype"/>
          <w:sz w:val="16"/>
        </w:rPr>
      </w:pPr>
    </w:p>
    <w:p>
      <w:pPr>
        <w:spacing w:after="0"/>
        <w:jc w:val="left"/>
        <w:rPr>
          <w:rFonts w:ascii="Palatino Linotype"/>
          <w:sz w:val="16"/>
        </w:rPr>
        <w:sectPr>
          <w:type w:val="continuous"/>
          <w:pgSz w:w="11910" w:h="16840"/>
          <w:pgMar w:top="1580" w:bottom="280" w:left="500" w:right="480"/>
        </w:sectPr>
      </w:pPr>
    </w:p>
    <w:p>
      <w:pPr>
        <w:spacing w:before="172"/>
        <w:ind w:left="220" w:right="0" w:firstLine="0"/>
        <w:jc w:val="both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Abstract (300</w:t>
      </w:r>
      <w:r>
        <w:rPr>
          <w:rFonts w:ascii="Arial"/>
          <w:b/>
          <w:color w:val="BE5A13"/>
          <w:spacing w:val="-1"/>
          <w:sz w:val="20"/>
        </w:rPr>
        <w:t> </w:t>
      </w:r>
      <w:r>
        <w:rPr>
          <w:rFonts w:ascii="Arial"/>
          <w:b/>
          <w:color w:val="BE5A13"/>
          <w:sz w:val="20"/>
        </w:rPr>
        <w:t>word</w:t>
      </w:r>
      <w:r>
        <w:rPr>
          <w:rFonts w:ascii="Arial"/>
          <w:b/>
          <w:color w:val="BE5A13"/>
          <w:spacing w:val="-3"/>
          <w:sz w:val="20"/>
        </w:rPr>
        <w:t> </w:t>
      </w:r>
      <w:r>
        <w:rPr>
          <w:rFonts w:ascii="Arial"/>
          <w:b/>
          <w:color w:val="BE5A13"/>
          <w:sz w:val="20"/>
        </w:rPr>
        <w:t>limit)</w:t>
      </w:r>
    </w:p>
    <w:p>
      <w:pPr>
        <w:pStyle w:val="BodyText"/>
        <w:spacing w:line="268" w:lineRule="auto" w:before="80"/>
        <w:ind w:left="220" w:firstLine="0"/>
      </w:pPr>
      <w:r>
        <w:rPr>
          <w:spacing w:val="-1"/>
          <w:w w:val="95"/>
        </w:rPr>
        <w:t>Malaysia</w:t>
      </w:r>
      <w:r>
        <w:rPr>
          <w:w w:val="95"/>
        </w:rPr>
        <w:t> </w:t>
      </w:r>
      <w:r>
        <w:rPr>
          <w:spacing w:val="-1"/>
          <w:w w:val="95"/>
        </w:rPr>
        <w:t>has</w:t>
      </w:r>
      <w:r>
        <w:rPr>
          <w:w w:val="95"/>
        </w:rPr>
        <w:t> </w:t>
      </w:r>
      <w:r>
        <w:rPr>
          <w:spacing w:val="-1"/>
          <w:w w:val="95"/>
        </w:rPr>
        <w:t>abundant</w:t>
      </w:r>
      <w:r>
        <w:rPr>
          <w:w w:val="95"/>
        </w:rPr>
        <w:t> </w:t>
      </w:r>
      <w:r>
        <w:rPr>
          <w:spacing w:val="-1"/>
          <w:w w:val="95"/>
        </w:rPr>
        <w:t>pumpkin</w:t>
      </w:r>
      <w:r>
        <w:rPr>
          <w:w w:val="95"/>
        </w:rPr>
        <w:t> </w:t>
      </w:r>
      <w:r>
        <w:rPr>
          <w:spacing w:val="-1"/>
          <w:w w:val="95"/>
        </w:rPr>
        <w:t>crops,</w:t>
      </w:r>
      <w:r>
        <w:rPr>
          <w:w w:val="95"/>
        </w:rPr>
        <w:t> </w:t>
      </w:r>
      <w:r>
        <w:rPr>
          <w:spacing w:val="-1"/>
          <w:w w:val="95"/>
        </w:rPr>
        <w:t>which</w:t>
      </w:r>
      <w:r>
        <w:rPr>
          <w:w w:val="95"/>
        </w:rPr>
        <w:t> </w:t>
      </w:r>
      <w:r>
        <w:rPr>
          <w:spacing w:val="-1"/>
          <w:w w:val="95"/>
        </w:rPr>
        <w:t>contain</w:t>
      </w:r>
      <w:r>
        <w:rPr>
          <w:w w:val="95"/>
        </w:rPr>
        <w:t> numerous</w:t>
      </w:r>
      <w:r>
        <w:rPr>
          <w:spacing w:val="-43"/>
          <w:w w:val="95"/>
        </w:rPr>
        <w:t> </w:t>
      </w:r>
      <w:r>
        <w:rPr>
          <w:w w:val="90"/>
        </w:rPr>
        <w:t>beneficial nutrients. However, fresh-cut pumpkin fruit has a short shelf</w:t>
      </w:r>
      <w:r>
        <w:rPr>
          <w:spacing w:val="1"/>
          <w:w w:val="90"/>
        </w:rPr>
        <w:t> </w:t>
      </w:r>
      <w:r>
        <w:rPr>
          <w:spacing w:val="-2"/>
        </w:rPr>
        <w:t>life, and as a result, it is underutilized, </w:t>
      </w:r>
      <w:r>
        <w:rPr>
          <w:spacing w:val="-1"/>
        </w:rPr>
        <w:t>with a lack of value-added</w:t>
      </w:r>
      <w:r>
        <w:rPr/>
        <w:t> </w:t>
      </w:r>
      <w:r>
        <w:rPr>
          <w:w w:val="95"/>
        </w:rPr>
        <w:t>pumpkin products available both locally and</w:t>
      </w:r>
      <w:r>
        <w:rPr>
          <w:spacing w:val="1"/>
          <w:w w:val="95"/>
        </w:rPr>
        <w:t> </w:t>
      </w:r>
      <w:r>
        <w:rPr>
          <w:w w:val="95"/>
        </w:rPr>
        <w:t>internationally. This</w:t>
      </w:r>
      <w:r>
        <w:rPr>
          <w:spacing w:val="1"/>
          <w:w w:val="95"/>
        </w:rPr>
        <w:t> </w:t>
      </w:r>
      <w:r>
        <w:rPr>
          <w:w w:val="95"/>
        </w:rPr>
        <w:t>research developed fermented pumpkin-based beverage that was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produced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by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fermenting</w:t>
      </w:r>
      <w:r>
        <w:rPr>
          <w:spacing w:val="-4"/>
          <w:w w:val="95"/>
        </w:rPr>
        <w:t> </w:t>
      </w:r>
      <w:r>
        <w:rPr>
          <w:w w:val="95"/>
        </w:rPr>
        <w:t>pumpkin</w:t>
      </w:r>
      <w:r>
        <w:rPr>
          <w:spacing w:val="-4"/>
          <w:w w:val="95"/>
        </w:rPr>
        <w:t> </w:t>
      </w:r>
      <w:r>
        <w:rPr>
          <w:w w:val="95"/>
        </w:rPr>
        <w:t>fruit</w:t>
      </w:r>
      <w:r>
        <w:rPr>
          <w:spacing w:val="-3"/>
          <w:w w:val="95"/>
        </w:rPr>
        <w:t> </w:t>
      </w:r>
      <w:r>
        <w:rPr>
          <w:w w:val="95"/>
        </w:rPr>
        <w:t>puree</w:t>
      </w:r>
      <w:r>
        <w:rPr>
          <w:spacing w:val="-5"/>
          <w:w w:val="95"/>
        </w:rPr>
        <w:t> </w:t>
      </w:r>
      <w:r>
        <w:rPr>
          <w:w w:val="95"/>
        </w:rPr>
        <w:t>using</w:t>
      </w:r>
      <w:r>
        <w:rPr>
          <w:spacing w:val="-4"/>
          <w:w w:val="95"/>
        </w:rPr>
        <w:t> </w:t>
      </w:r>
      <w:r>
        <w:rPr>
          <w:w w:val="95"/>
        </w:rPr>
        <w:t>natural</w:t>
      </w:r>
      <w:r>
        <w:rPr>
          <w:spacing w:val="1"/>
          <w:w w:val="95"/>
        </w:rPr>
        <w:t> </w:t>
      </w:r>
      <w:r>
        <w:rPr>
          <w:w w:val="95"/>
        </w:rPr>
        <w:t>water</w:t>
      </w:r>
      <w:r>
        <w:rPr>
          <w:spacing w:val="-7"/>
          <w:w w:val="95"/>
        </w:rPr>
        <w:t> </w:t>
      </w:r>
      <w:r>
        <w:rPr>
          <w:w w:val="95"/>
        </w:rPr>
        <w:t>kefir</w:t>
      </w:r>
      <w:r>
        <w:rPr>
          <w:spacing w:val="-43"/>
          <w:w w:val="95"/>
        </w:rPr>
        <w:t> </w:t>
      </w:r>
      <w:r>
        <w:rPr>
          <w:spacing w:val="-2"/>
          <w:w w:val="95"/>
        </w:rPr>
        <w:t>probiotic strain with high anti-hyperglycemic properties, for preventing</w:t>
      </w:r>
      <w:r>
        <w:rPr>
          <w:spacing w:val="-43"/>
          <w:w w:val="95"/>
        </w:rPr>
        <w:t> </w:t>
      </w:r>
      <w:r>
        <w:rPr>
          <w:spacing w:val="-1"/>
        </w:rPr>
        <w:t>early</w:t>
      </w:r>
      <w:r>
        <w:rPr/>
        <w:t> </w:t>
      </w:r>
      <w:r>
        <w:rPr>
          <w:spacing w:val="-1"/>
        </w:rPr>
        <w:t>stages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type-2</w:t>
      </w:r>
      <w:r>
        <w:rPr/>
        <w:t> </w:t>
      </w:r>
      <w:r>
        <w:rPr>
          <w:spacing w:val="-1"/>
        </w:rPr>
        <w:t>diabetes</w:t>
      </w:r>
      <w:r>
        <w:rPr/>
        <w:t> </w:t>
      </w:r>
      <w:r>
        <w:rPr>
          <w:spacing w:val="-1"/>
        </w:rPr>
        <w:t>mellitus. </w:t>
      </w:r>
      <w:r>
        <w:rPr/>
        <w:t>The</w:t>
      </w:r>
      <w:r>
        <w:rPr>
          <w:spacing w:val="1"/>
        </w:rPr>
        <w:t> </w:t>
      </w:r>
      <w:r>
        <w:rPr/>
        <w:t>probiotic strain,</w:t>
      </w:r>
      <w:r>
        <w:rPr>
          <w:spacing w:val="1"/>
        </w:rPr>
        <w:t> </w:t>
      </w:r>
      <w:r>
        <w:rPr>
          <w:rFonts w:ascii="Arial" w:hAnsi="Arial"/>
          <w:i/>
          <w:spacing w:val="-1"/>
          <w:w w:val="95"/>
        </w:rPr>
        <w:t>Lactobacillus</w:t>
      </w:r>
      <w:r>
        <w:rPr>
          <w:rFonts w:ascii="Arial" w:hAnsi="Arial"/>
          <w:i/>
          <w:spacing w:val="-6"/>
          <w:w w:val="95"/>
        </w:rPr>
        <w:t> </w:t>
      </w:r>
      <w:r>
        <w:rPr>
          <w:spacing w:val="-1"/>
          <w:w w:val="95"/>
        </w:rPr>
        <w:t>sp.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K8,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isolated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from</w:t>
      </w:r>
      <w:r>
        <w:rPr>
          <w:spacing w:val="-3"/>
          <w:w w:val="95"/>
        </w:rPr>
        <w:t> </w:t>
      </w:r>
      <w:r>
        <w:rPr>
          <w:w w:val="95"/>
        </w:rPr>
        <w:t>water</w:t>
      </w:r>
      <w:r>
        <w:rPr>
          <w:spacing w:val="-4"/>
          <w:w w:val="95"/>
        </w:rPr>
        <w:t> </w:t>
      </w:r>
      <w:r>
        <w:rPr>
          <w:w w:val="95"/>
        </w:rPr>
        <w:t>kefir</w:t>
      </w:r>
      <w:r>
        <w:rPr>
          <w:spacing w:val="-4"/>
          <w:w w:val="95"/>
        </w:rPr>
        <w:t> </w:t>
      </w:r>
      <w:r>
        <w:rPr>
          <w:w w:val="95"/>
        </w:rPr>
        <w:t>grains</w:t>
      </w:r>
      <w:r>
        <w:rPr>
          <w:spacing w:val="1"/>
          <w:w w:val="95"/>
        </w:rPr>
        <w:t> </w:t>
      </w:r>
      <w:r>
        <w:rPr>
          <w:w w:val="95"/>
        </w:rPr>
        <w:t>was</w:t>
      </w:r>
      <w:r>
        <w:rPr>
          <w:spacing w:val="-4"/>
          <w:w w:val="95"/>
        </w:rPr>
        <w:t> </w:t>
      </w:r>
      <w:r>
        <w:rPr>
          <w:w w:val="95"/>
        </w:rPr>
        <w:t>found</w:t>
      </w:r>
      <w:r>
        <w:rPr>
          <w:spacing w:val="-5"/>
          <w:w w:val="95"/>
        </w:rPr>
        <w:t> </w:t>
      </w:r>
      <w:r>
        <w:rPr>
          <w:w w:val="95"/>
        </w:rPr>
        <w:t>to</w:t>
      </w:r>
      <w:r>
        <w:rPr>
          <w:spacing w:val="-5"/>
          <w:w w:val="95"/>
        </w:rPr>
        <w:t> </w:t>
      </w:r>
      <w:r>
        <w:rPr>
          <w:w w:val="95"/>
        </w:rPr>
        <w:t>be</w:t>
      </w:r>
      <w:r>
        <w:rPr>
          <w:spacing w:val="-43"/>
          <w:w w:val="95"/>
        </w:rPr>
        <w:t> </w:t>
      </w:r>
      <w:r>
        <w:rPr>
          <w:spacing w:val="-2"/>
          <w:w w:val="95"/>
        </w:rPr>
        <w:t>susceptible</w:t>
      </w:r>
      <w:r>
        <w:rPr>
          <w:spacing w:val="-1"/>
          <w:w w:val="95"/>
        </w:rPr>
        <w:t> </w:t>
      </w:r>
      <w:r>
        <w:rPr>
          <w:spacing w:val="-2"/>
          <w:w w:val="95"/>
        </w:rPr>
        <w:t>to</w:t>
      </w:r>
      <w:r>
        <w:rPr>
          <w:spacing w:val="-1"/>
          <w:w w:val="95"/>
        </w:rPr>
        <w:t> </w:t>
      </w:r>
      <w:r>
        <w:rPr>
          <w:spacing w:val="-2"/>
          <w:w w:val="95"/>
        </w:rPr>
        <w:t>conventional</w:t>
      </w:r>
      <w:r>
        <w:rPr>
          <w:spacing w:val="-1"/>
          <w:w w:val="95"/>
        </w:rPr>
        <w:t> </w:t>
      </w:r>
      <w:r>
        <w:rPr>
          <w:spacing w:val="-2"/>
          <w:w w:val="95"/>
        </w:rPr>
        <w:t>antibiotics,</w:t>
      </w:r>
      <w:r>
        <w:rPr>
          <w:spacing w:val="-1"/>
          <w:w w:val="95"/>
        </w:rPr>
        <w:t> </w:t>
      </w:r>
      <w:r>
        <w:rPr>
          <w:spacing w:val="-2"/>
          <w:w w:val="95"/>
        </w:rPr>
        <w:t>non-hemolytic,</w:t>
      </w:r>
      <w:r>
        <w:rPr>
          <w:spacing w:val="-1"/>
          <w:w w:val="95"/>
        </w:rPr>
        <w:t> sufficiently</w:t>
      </w:r>
      <w:r>
        <w:rPr>
          <w:w w:val="95"/>
        </w:rPr>
        <w:t> </w:t>
      </w:r>
      <w:r>
        <w:rPr>
          <w:spacing w:val="-2"/>
          <w:w w:val="95"/>
        </w:rPr>
        <w:t>survived after exposure to simulated gastrointestinal </w:t>
      </w:r>
      <w:r>
        <w:rPr>
          <w:spacing w:val="-1"/>
          <w:w w:val="95"/>
        </w:rPr>
        <w:t>conditions, and</w:t>
      </w:r>
      <w:r>
        <w:rPr>
          <w:w w:val="95"/>
        </w:rPr>
        <w:t> </w:t>
      </w:r>
      <w:r>
        <w:rPr>
          <w:w w:val="90"/>
        </w:rPr>
        <w:t>showed higher alpha-glucosidase inhibitory activity comparable to the</w:t>
      </w:r>
      <w:r>
        <w:rPr>
          <w:spacing w:val="1"/>
          <w:w w:val="90"/>
        </w:rPr>
        <w:t> </w:t>
      </w:r>
      <w:r>
        <w:rPr>
          <w:w w:val="85"/>
        </w:rPr>
        <w:t>commercial probiotic </w:t>
      </w:r>
      <w:r>
        <w:rPr>
          <w:rFonts w:ascii="Arial" w:hAnsi="Arial"/>
          <w:i/>
          <w:w w:val="85"/>
        </w:rPr>
        <w:t>Lactobacillus rhamnosus </w:t>
      </w:r>
      <w:r>
        <w:rPr>
          <w:w w:val="85"/>
        </w:rPr>
        <w:t>GG strain and was used to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ferment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pumpkin-based</w:t>
      </w:r>
      <w:r>
        <w:rPr>
          <w:spacing w:val="-10"/>
          <w:w w:val="90"/>
        </w:rPr>
        <w:t> </w:t>
      </w:r>
      <w:r>
        <w:rPr>
          <w:spacing w:val="-1"/>
          <w:w w:val="90"/>
        </w:rPr>
        <w:t>beverage.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total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four</w:t>
      </w:r>
      <w:r>
        <w:rPr>
          <w:spacing w:val="-3"/>
          <w:w w:val="90"/>
        </w:rPr>
        <w:t> </w:t>
      </w:r>
      <w:r>
        <w:rPr>
          <w:w w:val="90"/>
        </w:rPr>
        <w:t>optimum</w:t>
      </w:r>
      <w:r>
        <w:rPr>
          <w:spacing w:val="-11"/>
          <w:w w:val="90"/>
        </w:rPr>
        <w:t> </w:t>
      </w:r>
      <w:r>
        <w:rPr>
          <w:w w:val="90"/>
        </w:rPr>
        <w:t>responses</w:t>
      </w:r>
      <w:r>
        <w:rPr>
          <w:spacing w:val="-40"/>
          <w:w w:val="90"/>
        </w:rPr>
        <w:t> </w:t>
      </w:r>
      <w:r>
        <w:rPr>
          <w:spacing w:val="-1"/>
          <w:w w:val="95"/>
        </w:rPr>
        <w:t>(minimal fermentation time, maximal overall sensory acceptability,</w:t>
      </w:r>
      <w:r>
        <w:rPr>
          <w:w w:val="95"/>
        </w:rPr>
        <w:t> </w:t>
      </w:r>
      <w:r>
        <w:rPr>
          <w:spacing w:val="-2"/>
          <w:w w:val="95"/>
        </w:rPr>
        <w:t>maximal </w:t>
      </w:r>
      <w:r>
        <w:rPr>
          <w:rFonts w:ascii="Calibri" w:hAnsi="Calibri"/>
          <w:spacing w:val="-2"/>
          <w:w w:val="95"/>
        </w:rPr>
        <w:t>α</w:t>
      </w:r>
      <w:r>
        <w:rPr>
          <w:spacing w:val="-2"/>
          <w:w w:val="95"/>
        </w:rPr>
        <w:t>-glucosidase inhibition, and maximal </w:t>
      </w:r>
      <w:r>
        <w:rPr>
          <w:spacing w:val="-1"/>
          <w:w w:val="95"/>
        </w:rPr>
        <w:t>Lactobacillus sp. K8</w:t>
      </w:r>
      <w:r>
        <w:rPr>
          <w:w w:val="95"/>
        </w:rPr>
        <w:t> survival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simulated</w:t>
      </w:r>
      <w:r>
        <w:rPr>
          <w:spacing w:val="1"/>
          <w:w w:val="95"/>
        </w:rPr>
        <w:t> </w:t>
      </w:r>
      <w:r>
        <w:rPr>
          <w:w w:val="95"/>
        </w:rPr>
        <w:t>gastrointestinal</w:t>
      </w:r>
      <w:r>
        <w:rPr>
          <w:spacing w:val="1"/>
          <w:w w:val="95"/>
        </w:rPr>
        <w:t> </w:t>
      </w:r>
      <w:r>
        <w:rPr>
          <w:w w:val="95"/>
        </w:rPr>
        <w:t>condition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optimized</w:t>
      </w:r>
      <w:r>
        <w:rPr>
          <w:spacing w:val="1"/>
          <w:w w:val="95"/>
        </w:rPr>
        <w:t> </w:t>
      </w:r>
      <w:r>
        <w:rPr>
          <w:w w:val="90"/>
        </w:rPr>
        <w:t>beverage were achieved at fermentation temperature of 35°C, pumpkin</w:t>
      </w:r>
      <w:r>
        <w:rPr>
          <w:spacing w:val="-41"/>
          <w:w w:val="90"/>
        </w:rPr>
        <w:t> </w:t>
      </w:r>
      <w:r>
        <w:rPr>
          <w:w w:val="90"/>
        </w:rPr>
        <w:t>puree content of 40% w/v, and inoculum concentration of 10</w:t>
      </w:r>
      <w:r>
        <w:rPr>
          <w:w w:val="90"/>
          <w:position w:val="4"/>
          <w:sz w:val="12"/>
        </w:rPr>
        <w:t>8 </w:t>
      </w:r>
      <w:r>
        <w:rPr>
          <w:w w:val="90"/>
        </w:rPr>
        <w:t>CFU/mL.</w:t>
      </w:r>
      <w:r>
        <w:rPr>
          <w:spacing w:val="1"/>
          <w:w w:val="90"/>
        </w:rPr>
        <w:t> </w:t>
      </w:r>
      <w:r>
        <w:rPr>
          <w:w w:val="90"/>
        </w:rPr>
        <w:t>The resulting beverage was evaluated for its physicochemical, sensory,</w:t>
      </w:r>
      <w:r>
        <w:rPr>
          <w:spacing w:val="-41"/>
          <w:w w:val="90"/>
        </w:rPr>
        <w:t> </w:t>
      </w:r>
      <w:r>
        <w:rPr/>
        <w:t>microbiological,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probiotic</w:t>
      </w:r>
      <w:r>
        <w:rPr>
          <w:spacing w:val="1"/>
        </w:rPr>
        <w:t> </w:t>
      </w:r>
      <w:r>
        <w:rPr/>
        <w:t>properties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56</w:t>
      </w:r>
      <w:r>
        <w:rPr>
          <w:spacing w:val="1"/>
        </w:rPr>
        <w:t> </w:t>
      </w:r>
      <w:r>
        <w:rPr/>
        <w:t>days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>
          <w:w w:val="95"/>
        </w:rPr>
        <w:t>refrigerated storage at 4°C. The results revealed that the optimized</w:t>
      </w:r>
      <w:r>
        <w:rPr>
          <w:spacing w:val="1"/>
          <w:w w:val="95"/>
        </w:rPr>
        <w:t> </w:t>
      </w:r>
      <w:r>
        <w:rPr>
          <w:w w:val="90"/>
        </w:rPr>
        <w:t>beverage contained proximate nutrients and minerals, demonstrated</w:t>
      </w:r>
      <w:r>
        <w:rPr>
          <w:spacing w:val="1"/>
          <w:w w:val="90"/>
        </w:rPr>
        <w:t> </w:t>
      </w:r>
      <w:r>
        <w:rPr>
          <w:w w:val="95"/>
        </w:rPr>
        <w:t>antioxidative capabilities, and inhibited alpha-amylase and alpha-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glucosidase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vitro.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In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addition,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beverage</w:t>
      </w:r>
      <w:r>
        <w:rPr>
          <w:spacing w:val="-5"/>
          <w:w w:val="95"/>
        </w:rPr>
        <w:t> </w:t>
      </w:r>
      <w:r>
        <w:rPr>
          <w:w w:val="95"/>
        </w:rPr>
        <w:t>alleviated</w:t>
      </w:r>
      <w:r>
        <w:rPr>
          <w:spacing w:val="-5"/>
          <w:w w:val="95"/>
        </w:rPr>
        <w:t> </w:t>
      </w:r>
      <w:r>
        <w:rPr>
          <w:w w:val="95"/>
        </w:rPr>
        <w:t>postprandial</w:t>
      </w:r>
      <w:r>
        <w:rPr>
          <w:spacing w:val="-43"/>
          <w:w w:val="95"/>
        </w:rPr>
        <w:t> </w:t>
      </w:r>
      <w:r>
        <w:rPr>
          <w:spacing w:val="-1"/>
        </w:rPr>
        <w:t>hyperglycemia</w:t>
      </w:r>
      <w:r>
        <w:rPr/>
        <w:t> in</w:t>
      </w:r>
      <w:r>
        <w:rPr>
          <w:spacing w:val="1"/>
        </w:rPr>
        <w:t> </w:t>
      </w:r>
      <w:r>
        <w:rPr/>
        <w:t>rats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type-2</w:t>
      </w:r>
      <w:r>
        <w:rPr>
          <w:spacing w:val="1"/>
        </w:rPr>
        <w:t> </w:t>
      </w:r>
      <w:r>
        <w:rPr/>
        <w:t>diabetes</w:t>
      </w:r>
      <w:r>
        <w:rPr>
          <w:spacing w:val="1"/>
        </w:rPr>
        <w:t> </w:t>
      </w:r>
      <w:r>
        <w:rPr/>
        <w:t>mellitus.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anti-</w:t>
      </w:r>
      <w:r>
        <w:rPr>
          <w:spacing w:val="-45"/>
        </w:rPr>
        <w:t> </w:t>
      </w:r>
      <w:r>
        <w:rPr>
          <w:w w:val="95"/>
        </w:rPr>
        <w:t>hyperglycemic fermented pumpkin-based beverage with at least 56</w:t>
      </w:r>
      <w:r>
        <w:rPr>
          <w:spacing w:val="1"/>
          <w:w w:val="95"/>
        </w:rPr>
        <w:t> </w:t>
      </w:r>
      <w:r>
        <w:rPr>
          <w:w w:val="90"/>
        </w:rPr>
        <w:t>days of refrigerated storage stability was successfully developed using</w:t>
      </w:r>
      <w:r>
        <w:rPr>
          <w:spacing w:val="1"/>
          <w:w w:val="90"/>
        </w:rPr>
        <w:t> </w:t>
      </w:r>
      <w:r>
        <w:rPr>
          <w:rFonts w:ascii="Arial" w:hAnsi="Arial"/>
          <w:i/>
          <w:spacing w:val="-2"/>
          <w:w w:val="95"/>
        </w:rPr>
        <w:t>Lactobacillus </w:t>
      </w:r>
      <w:r>
        <w:rPr>
          <w:spacing w:val="-2"/>
          <w:w w:val="95"/>
        </w:rPr>
        <w:t>sp. </w:t>
      </w:r>
      <w:r>
        <w:rPr>
          <w:spacing w:val="-1"/>
          <w:w w:val="95"/>
        </w:rPr>
        <w:t>K8 isolated from water kefir grains. This functional</w:t>
      </w:r>
      <w:r>
        <w:rPr>
          <w:w w:val="95"/>
        </w:rPr>
        <w:t> </w:t>
      </w:r>
      <w:r>
        <w:rPr>
          <w:spacing w:val="-1"/>
        </w:rPr>
        <w:t>beverage </w:t>
      </w:r>
      <w:r>
        <w:rPr/>
        <w:t>could be a potential dietary measure for preventing</w:t>
      </w:r>
      <w:r>
        <w:rPr>
          <w:spacing w:val="1"/>
        </w:rPr>
        <w:t> </w:t>
      </w:r>
      <w:r>
        <w:rPr>
          <w:w w:val="95"/>
        </w:rPr>
        <w:t>postprandial hyperglycemia in type-2 diabetes patients but further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clinical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studies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are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warranted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to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elucidate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beneficial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effects.</w:t>
      </w:r>
    </w:p>
    <w:p>
      <w:pPr>
        <w:spacing w:before="95"/>
        <w:ind w:left="192" w:right="0" w:firstLine="0"/>
        <w:jc w:val="left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color w:val="BE5A13"/>
          <w:sz w:val="20"/>
        </w:rPr>
        <w:t>Image</w:t>
      </w:r>
    </w:p>
    <w:p>
      <w:pPr>
        <w:pStyle w:val="BodyText"/>
        <w:spacing w:before="0"/>
        <w:ind w:left="89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312407" cy="15605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407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before="188"/>
        <w:ind w:left="9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1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18" w:lineRule="auto" w:before="94" w:after="0"/>
        <w:ind w:left="475" w:right="112" w:hanging="284"/>
        <w:jc w:val="both"/>
        <w:rPr>
          <w:sz w:val="18"/>
        </w:rPr>
      </w:pPr>
      <w:r>
        <w:rPr>
          <w:b/>
          <w:sz w:val="18"/>
          <w:u w:val="single"/>
        </w:rPr>
        <w:t>Koh, W. Y</w:t>
      </w:r>
      <w:r>
        <w:rPr>
          <w:b/>
          <w:sz w:val="18"/>
        </w:rPr>
        <w:t>.</w:t>
      </w:r>
      <w:r>
        <w:rPr>
          <w:sz w:val="18"/>
        </w:rPr>
        <w:t>, Lim, X. X., Tan, T. C., Hasmadi, M., Kobun, R., &amp; Rasti, B.</w:t>
      </w:r>
      <w:r>
        <w:rPr>
          <w:spacing w:val="1"/>
          <w:sz w:val="18"/>
        </w:rPr>
        <w:t> </w:t>
      </w:r>
      <w:r>
        <w:rPr>
          <w:sz w:val="18"/>
        </w:rPr>
        <w:t>(2023). Utilising Spent Tea Leaves Powder as Functional Ingredient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to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Enhance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the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Quality</w:t>
      </w:r>
      <w:r>
        <w:rPr>
          <w:spacing w:val="-11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Non-Gluten</w:t>
      </w:r>
      <w:r>
        <w:rPr>
          <w:spacing w:val="-12"/>
          <w:sz w:val="18"/>
        </w:rPr>
        <w:t> </w:t>
      </w:r>
      <w:r>
        <w:rPr>
          <w:sz w:val="18"/>
        </w:rPr>
        <w:t>Shortbread</w:t>
      </w:r>
      <w:r>
        <w:rPr>
          <w:spacing w:val="-6"/>
          <w:sz w:val="18"/>
        </w:rPr>
        <w:t> </w:t>
      </w:r>
      <w:r>
        <w:rPr>
          <w:sz w:val="18"/>
        </w:rPr>
        <w:t>Cookies.</w:t>
      </w:r>
      <w:r>
        <w:rPr>
          <w:spacing w:val="-5"/>
          <w:sz w:val="18"/>
        </w:rPr>
        <w:t> </w:t>
      </w:r>
      <w:r>
        <w:rPr>
          <w:sz w:val="18"/>
        </w:rPr>
        <w:t>Foods,</w:t>
      </w:r>
      <w:r>
        <w:rPr>
          <w:spacing w:val="-5"/>
          <w:sz w:val="18"/>
        </w:rPr>
        <w:t> </w:t>
      </w:r>
      <w:r>
        <w:rPr>
          <w:sz w:val="18"/>
        </w:rPr>
        <w:t>12</w:t>
      </w:r>
      <w:r>
        <w:rPr>
          <w:spacing w:val="-38"/>
          <w:sz w:val="18"/>
        </w:rPr>
        <w:t> </w:t>
      </w:r>
      <w:r>
        <w:rPr>
          <w:sz w:val="18"/>
        </w:rPr>
        <w:t>(Accepted).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35" w:lineRule="auto" w:before="91" w:after="0"/>
        <w:ind w:left="475" w:right="251" w:hanging="284"/>
        <w:jc w:val="both"/>
        <w:rPr>
          <w:sz w:val="18"/>
        </w:rPr>
      </w:pPr>
      <w:r>
        <w:rPr>
          <w:b/>
          <w:sz w:val="18"/>
          <w:u w:val="single"/>
        </w:rPr>
        <w:t>Koh, W. Y</w:t>
      </w:r>
      <w:r>
        <w:rPr>
          <w:b/>
          <w:sz w:val="18"/>
        </w:rPr>
        <w:t>.</w:t>
      </w:r>
      <w:r>
        <w:rPr>
          <w:sz w:val="18"/>
        </w:rPr>
        <w:t>, Lim, X. X., Tan, T. C., Kobun, R., &amp; Rasti, B. (2022).</w:t>
      </w:r>
      <w:r>
        <w:rPr>
          <w:spacing w:val="1"/>
          <w:sz w:val="18"/>
        </w:rPr>
        <w:t> </w:t>
      </w:r>
      <w:r>
        <w:rPr>
          <w:sz w:val="18"/>
        </w:rPr>
        <w:t>Encapsulated</w:t>
      </w:r>
      <w:r>
        <w:rPr>
          <w:spacing w:val="1"/>
          <w:sz w:val="18"/>
        </w:rPr>
        <w:t> </w:t>
      </w:r>
      <w:r>
        <w:rPr>
          <w:sz w:val="18"/>
        </w:rPr>
        <w:t>Probiotics:</w:t>
      </w:r>
      <w:r>
        <w:rPr>
          <w:spacing w:val="1"/>
          <w:sz w:val="18"/>
        </w:rPr>
        <w:t> </w:t>
      </w:r>
      <w:r>
        <w:rPr>
          <w:sz w:val="18"/>
        </w:rPr>
        <w:t>Potential</w:t>
      </w:r>
      <w:r>
        <w:rPr>
          <w:spacing w:val="1"/>
          <w:sz w:val="18"/>
        </w:rPr>
        <w:t> </w:t>
      </w:r>
      <w:r>
        <w:rPr>
          <w:sz w:val="18"/>
        </w:rPr>
        <w:t>Techniques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Coating</w:t>
      </w:r>
      <w:r>
        <w:rPr>
          <w:spacing w:val="1"/>
          <w:sz w:val="18"/>
        </w:rPr>
        <w:t> </w:t>
      </w:r>
      <w:r>
        <w:rPr>
          <w:sz w:val="18"/>
        </w:rPr>
        <w:t>Materials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Non-Dairy</w:t>
      </w:r>
      <w:r>
        <w:rPr>
          <w:spacing w:val="1"/>
          <w:sz w:val="18"/>
        </w:rPr>
        <w:t> </w:t>
      </w:r>
      <w:r>
        <w:rPr>
          <w:sz w:val="18"/>
        </w:rPr>
        <w:t>Food</w:t>
      </w:r>
      <w:r>
        <w:rPr>
          <w:spacing w:val="1"/>
          <w:sz w:val="18"/>
        </w:rPr>
        <w:t> </w:t>
      </w:r>
      <w:r>
        <w:rPr>
          <w:sz w:val="18"/>
        </w:rPr>
        <w:t>Applications.</w:t>
      </w:r>
      <w:r>
        <w:rPr>
          <w:spacing w:val="1"/>
          <w:sz w:val="18"/>
        </w:rPr>
        <w:t> </w:t>
      </w:r>
      <w:r>
        <w:rPr>
          <w:sz w:val="18"/>
        </w:rPr>
        <w:t>Applied</w:t>
      </w:r>
      <w:r>
        <w:rPr>
          <w:spacing w:val="1"/>
          <w:sz w:val="18"/>
        </w:rPr>
        <w:t> </w:t>
      </w:r>
      <w:r>
        <w:rPr>
          <w:sz w:val="18"/>
        </w:rPr>
        <w:t>Sciences,</w:t>
      </w:r>
      <w:r>
        <w:rPr>
          <w:spacing w:val="1"/>
          <w:sz w:val="18"/>
        </w:rPr>
        <w:t> </w:t>
      </w:r>
      <w:r>
        <w:rPr>
          <w:sz w:val="18"/>
        </w:rPr>
        <w:t>12(19),</w:t>
      </w:r>
      <w:r>
        <w:rPr>
          <w:spacing w:val="3"/>
          <w:sz w:val="18"/>
        </w:rPr>
        <w:t> </w:t>
      </w:r>
      <w:r>
        <w:rPr>
          <w:sz w:val="18"/>
        </w:rPr>
        <w:t>10005.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35" w:lineRule="auto" w:before="95" w:after="0"/>
        <w:ind w:left="475" w:right="250" w:hanging="284"/>
        <w:jc w:val="both"/>
        <w:rPr>
          <w:sz w:val="18"/>
        </w:rPr>
      </w:pPr>
      <w:r>
        <w:rPr>
          <w:b/>
          <w:sz w:val="18"/>
          <w:u w:val="single"/>
        </w:rPr>
        <w:t>Koh, W. Y</w:t>
      </w:r>
      <w:r>
        <w:rPr>
          <w:b/>
          <w:sz w:val="18"/>
        </w:rPr>
        <w:t>.</w:t>
      </w:r>
      <w:r>
        <w:rPr>
          <w:sz w:val="18"/>
        </w:rPr>
        <w:t>, Lim, X. X., Teoh, E. S. W., Kobun, R., &amp; Rasti, B. (2023).</w:t>
      </w:r>
      <w:r>
        <w:rPr>
          <w:spacing w:val="-38"/>
          <w:sz w:val="18"/>
        </w:rPr>
        <w:t> </w:t>
      </w:r>
      <w:r>
        <w:rPr>
          <w:sz w:val="18"/>
        </w:rPr>
        <w:t>The Effects of Gamma-Aminobuytric Acid (GABA) Enrichment on</w:t>
      </w:r>
      <w:r>
        <w:rPr>
          <w:spacing w:val="1"/>
          <w:sz w:val="18"/>
        </w:rPr>
        <w:t> </w:t>
      </w:r>
      <w:r>
        <w:rPr>
          <w:sz w:val="18"/>
        </w:rPr>
        <w:t>Nutritional, Physical, Shelf-Life, and Sensorial Properties of Dark</w:t>
      </w:r>
      <w:r>
        <w:rPr>
          <w:spacing w:val="1"/>
          <w:sz w:val="18"/>
        </w:rPr>
        <w:t> </w:t>
      </w:r>
      <w:r>
        <w:rPr>
          <w:sz w:val="18"/>
        </w:rPr>
        <w:t>Chocolate.</w:t>
      </w:r>
      <w:r>
        <w:rPr>
          <w:spacing w:val="3"/>
          <w:sz w:val="18"/>
        </w:rPr>
        <w:t> </w:t>
      </w:r>
      <w:r>
        <w:rPr>
          <w:sz w:val="18"/>
        </w:rPr>
        <w:t>Foods,</w:t>
      </w:r>
      <w:r>
        <w:rPr>
          <w:spacing w:val="4"/>
          <w:sz w:val="18"/>
        </w:rPr>
        <w:t> </w:t>
      </w:r>
      <w:r>
        <w:rPr>
          <w:sz w:val="18"/>
        </w:rPr>
        <w:t>12(1), 213.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18" w:lineRule="auto" w:before="91" w:after="0"/>
        <w:ind w:left="475" w:right="114" w:hanging="284"/>
        <w:jc w:val="both"/>
        <w:rPr>
          <w:sz w:val="18"/>
        </w:rPr>
      </w:pPr>
      <w:r>
        <w:rPr>
          <w:b/>
          <w:sz w:val="18"/>
          <w:u w:val="single"/>
        </w:rPr>
        <w:t>Koh, W. Y</w:t>
      </w:r>
      <w:r>
        <w:rPr>
          <w:b/>
          <w:sz w:val="18"/>
        </w:rPr>
        <w:t>.</w:t>
      </w:r>
      <w:r>
        <w:rPr>
          <w:sz w:val="18"/>
        </w:rPr>
        <w:t>, Matanjun, P., Lim, X. X., &amp; Kobun, R. (2022). Sensory,</w:t>
      </w:r>
      <w:r>
        <w:rPr>
          <w:spacing w:val="1"/>
          <w:sz w:val="18"/>
        </w:rPr>
        <w:t> </w:t>
      </w:r>
      <w:r>
        <w:rPr>
          <w:sz w:val="18"/>
        </w:rPr>
        <w:t>Physicochemical,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Cooking</w:t>
      </w:r>
      <w:r>
        <w:rPr>
          <w:spacing w:val="1"/>
          <w:sz w:val="18"/>
        </w:rPr>
        <w:t> </w:t>
      </w:r>
      <w:r>
        <w:rPr>
          <w:sz w:val="18"/>
        </w:rPr>
        <w:t>Qualities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Instant</w:t>
      </w:r>
      <w:r>
        <w:rPr>
          <w:spacing w:val="1"/>
          <w:sz w:val="18"/>
        </w:rPr>
        <w:t> </w:t>
      </w:r>
      <w:r>
        <w:rPr>
          <w:sz w:val="18"/>
        </w:rPr>
        <w:t>Noodles</w:t>
      </w:r>
      <w:r>
        <w:rPr>
          <w:spacing w:val="1"/>
          <w:sz w:val="18"/>
        </w:rPr>
        <w:t> </w:t>
      </w:r>
      <w:r>
        <w:rPr>
          <w:sz w:val="18"/>
        </w:rPr>
        <w:t>Incorporated with Red Seaweed (Eucheuma denticulatum). Foods,</w:t>
      </w:r>
      <w:r>
        <w:rPr>
          <w:spacing w:val="1"/>
          <w:sz w:val="18"/>
        </w:rPr>
        <w:t> </w:t>
      </w:r>
      <w:r>
        <w:rPr>
          <w:sz w:val="18"/>
        </w:rPr>
        <w:t>11(17),</w:t>
      </w:r>
      <w:r>
        <w:rPr>
          <w:spacing w:val="3"/>
          <w:sz w:val="18"/>
        </w:rPr>
        <w:t> </w:t>
      </w:r>
      <w:r>
        <w:rPr>
          <w:sz w:val="18"/>
        </w:rPr>
        <w:t>2669.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20" w:lineRule="auto" w:before="87" w:after="0"/>
        <w:ind w:left="475" w:right="114" w:hanging="284"/>
        <w:jc w:val="both"/>
        <w:rPr>
          <w:sz w:val="18"/>
        </w:rPr>
      </w:pPr>
      <w:r>
        <w:rPr>
          <w:b/>
          <w:sz w:val="18"/>
          <w:u w:val="single"/>
        </w:rPr>
        <w:t>Koh,</w:t>
      </w:r>
      <w:r>
        <w:rPr>
          <w:b/>
          <w:spacing w:val="1"/>
          <w:sz w:val="18"/>
          <w:u w:val="single"/>
        </w:rPr>
        <w:t> </w:t>
      </w:r>
      <w:r>
        <w:rPr>
          <w:b/>
          <w:sz w:val="18"/>
          <w:u w:val="single"/>
        </w:rPr>
        <w:t>W.</w:t>
      </w:r>
      <w:r>
        <w:rPr>
          <w:b/>
          <w:spacing w:val="1"/>
          <w:sz w:val="18"/>
          <w:u w:val="single"/>
        </w:rPr>
        <w:t> </w:t>
      </w:r>
      <w:r>
        <w:rPr>
          <w:b/>
          <w:sz w:val="18"/>
          <w:u w:val="single"/>
        </w:rPr>
        <w:t>Y</w:t>
      </w:r>
      <w:r>
        <w:rPr>
          <w:b/>
          <w:sz w:val="18"/>
        </w:rPr>
        <w:t>.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Lim,</w:t>
      </w:r>
      <w:r>
        <w:rPr>
          <w:spacing w:val="1"/>
          <w:sz w:val="18"/>
        </w:rPr>
        <w:t> </w:t>
      </w:r>
      <w:r>
        <w:rPr>
          <w:sz w:val="18"/>
        </w:rPr>
        <w:t>X.</w:t>
      </w:r>
      <w:r>
        <w:rPr>
          <w:spacing w:val="1"/>
          <w:sz w:val="18"/>
        </w:rPr>
        <w:t> </w:t>
      </w:r>
      <w:r>
        <w:rPr>
          <w:sz w:val="18"/>
        </w:rPr>
        <w:t>X.,</w:t>
      </w:r>
      <w:r>
        <w:rPr>
          <w:spacing w:val="1"/>
          <w:sz w:val="18"/>
        </w:rPr>
        <w:t> </w:t>
      </w:r>
      <w:r>
        <w:rPr>
          <w:sz w:val="18"/>
        </w:rPr>
        <w:t>Tan,</w:t>
      </w:r>
      <w:r>
        <w:rPr>
          <w:spacing w:val="1"/>
          <w:sz w:val="18"/>
        </w:rPr>
        <w:t> </w:t>
      </w:r>
      <w:r>
        <w:rPr>
          <w:sz w:val="18"/>
        </w:rPr>
        <w:t>T.</w:t>
      </w:r>
      <w:r>
        <w:rPr>
          <w:spacing w:val="1"/>
          <w:sz w:val="18"/>
        </w:rPr>
        <w:t> </w:t>
      </w:r>
      <w:r>
        <w:rPr>
          <w:sz w:val="18"/>
        </w:rPr>
        <w:t>C.,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Abdullah,</w:t>
      </w:r>
      <w:r>
        <w:rPr>
          <w:spacing w:val="1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(2021).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Characterization</w:t>
      </w:r>
      <w:r>
        <w:rPr>
          <w:spacing w:val="-9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Probiotics</w:t>
      </w:r>
      <w:r>
        <w:rPr>
          <w:spacing w:val="-7"/>
          <w:sz w:val="18"/>
        </w:rPr>
        <w:t> </w:t>
      </w:r>
      <w:r>
        <w:rPr>
          <w:sz w:val="18"/>
        </w:rPr>
        <w:t>From</w:t>
      </w:r>
      <w:r>
        <w:rPr>
          <w:spacing w:val="-10"/>
          <w:sz w:val="18"/>
        </w:rPr>
        <w:t> </w:t>
      </w:r>
      <w:r>
        <w:rPr>
          <w:sz w:val="18"/>
        </w:rPr>
        <w:t>Water</w:t>
      </w:r>
      <w:r>
        <w:rPr>
          <w:spacing w:val="-8"/>
          <w:sz w:val="18"/>
        </w:rPr>
        <w:t> </w:t>
      </w:r>
      <w:r>
        <w:rPr>
          <w:sz w:val="18"/>
        </w:rPr>
        <w:t>Kefir</w:t>
      </w:r>
      <w:r>
        <w:rPr>
          <w:spacing w:val="-4"/>
          <w:sz w:val="18"/>
        </w:rPr>
        <w:t> </w:t>
      </w:r>
      <w:r>
        <w:rPr>
          <w:sz w:val="18"/>
        </w:rPr>
        <w:t>Grains.</w:t>
      </w:r>
      <w:r>
        <w:rPr>
          <w:spacing w:val="-7"/>
          <w:sz w:val="18"/>
        </w:rPr>
        <w:t> </w:t>
      </w:r>
      <w:r>
        <w:rPr>
          <w:sz w:val="18"/>
        </w:rPr>
        <w:t>Transactions</w:t>
      </w:r>
      <w:r>
        <w:rPr>
          <w:spacing w:val="-38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Science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Technology,</w:t>
      </w:r>
      <w:r>
        <w:rPr>
          <w:spacing w:val="4"/>
          <w:sz w:val="18"/>
        </w:rPr>
        <w:t> </w:t>
      </w:r>
      <w:r>
        <w:rPr>
          <w:sz w:val="18"/>
        </w:rPr>
        <w:t>8(4), 667-672.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18" w:lineRule="auto" w:before="87" w:after="0"/>
        <w:ind w:left="475" w:right="113" w:hanging="284"/>
        <w:jc w:val="both"/>
        <w:rPr>
          <w:sz w:val="18"/>
        </w:rPr>
      </w:pPr>
      <w:r>
        <w:rPr>
          <w:b/>
          <w:sz w:val="18"/>
          <w:u w:val="single"/>
        </w:rPr>
        <w:t>Koh,</w:t>
      </w:r>
      <w:r>
        <w:rPr>
          <w:b/>
          <w:spacing w:val="1"/>
          <w:sz w:val="18"/>
          <w:u w:val="single"/>
        </w:rPr>
        <w:t> </w:t>
      </w:r>
      <w:r>
        <w:rPr>
          <w:b/>
          <w:sz w:val="18"/>
          <w:u w:val="single"/>
        </w:rPr>
        <w:t>W.</w:t>
      </w:r>
      <w:r>
        <w:rPr>
          <w:b/>
          <w:spacing w:val="-9"/>
          <w:sz w:val="18"/>
          <w:u w:val="single"/>
        </w:rPr>
        <w:t> </w:t>
      </w:r>
      <w:r>
        <w:rPr>
          <w:b/>
          <w:sz w:val="18"/>
          <w:u w:val="single"/>
        </w:rPr>
        <w:t>Y</w:t>
      </w:r>
      <w:r>
        <w:rPr>
          <w:b/>
          <w:sz w:val="18"/>
        </w:rPr>
        <w:t>.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Uthumporn,</w:t>
      </w:r>
      <w:r>
        <w:rPr>
          <w:spacing w:val="-1"/>
          <w:sz w:val="18"/>
        </w:rPr>
        <w:t> </w:t>
      </w:r>
      <w:r>
        <w:rPr>
          <w:sz w:val="18"/>
        </w:rPr>
        <w:t>U.,</w:t>
      </w:r>
      <w:r>
        <w:rPr>
          <w:spacing w:val="-1"/>
          <w:sz w:val="18"/>
        </w:rPr>
        <w:t> </w:t>
      </w:r>
      <w:r>
        <w:rPr>
          <w:sz w:val="18"/>
        </w:rPr>
        <w:t>Rosma,</w:t>
      </w:r>
      <w:r>
        <w:rPr>
          <w:spacing w:val="-6"/>
          <w:sz w:val="18"/>
        </w:rPr>
        <w:t> </w:t>
      </w:r>
      <w:r>
        <w:rPr>
          <w:sz w:val="18"/>
        </w:rPr>
        <w:t>A.,</w:t>
      </w:r>
      <w:r>
        <w:rPr>
          <w:spacing w:val="-2"/>
          <w:sz w:val="18"/>
        </w:rPr>
        <w:t> </w:t>
      </w:r>
      <w:r>
        <w:rPr>
          <w:sz w:val="18"/>
        </w:rPr>
        <w:t>Effarizah,</w:t>
      </w:r>
      <w:r>
        <w:rPr>
          <w:spacing w:val="-6"/>
          <w:sz w:val="18"/>
        </w:rPr>
        <w:t> </w:t>
      </w:r>
      <w:r>
        <w:rPr>
          <w:sz w:val="18"/>
        </w:rPr>
        <w:t>M.</w:t>
      </w:r>
      <w:r>
        <w:rPr>
          <w:spacing w:val="-7"/>
          <w:sz w:val="18"/>
        </w:rPr>
        <w:t> </w:t>
      </w:r>
      <w:r>
        <w:rPr>
          <w:sz w:val="18"/>
        </w:rPr>
        <w:t>E.,</w:t>
      </w:r>
      <w:r>
        <w:rPr>
          <w:spacing w:val="-1"/>
          <w:sz w:val="18"/>
        </w:rPr>
        <w:t> </w:t>
      </w:r>
      <w:r>
        <w:rPr>
          <w:sz w:val="18"/>
        </w:rPr>
        <w:t>&amp;</w:t>
      </w:r>
      <w:r>
        <w:rPr>
          <w:spacing w:val="-8"/>
          <w:sz w:val="18"/>
        </w:rPr>
        <w:t> </w:t>
      </w:r>
      <w:r>
        <w:rPr>
          <w:sz w:val="18"/>
        </w:rPr>
        <w:t>Rosli,</w:t>
      </w:r>
      <w:r>
        <w:rPr>
          <w:spacing w:val="-1"/>
          <w:sz w:val="18"/>
        </w:rPr>
        <w:t> </w:t>
      </w:r>
      <w:r>
        <w:rPr>
          <w:sz w:val="18"/>
        </w:rPr>
        <w:t>W.</w:t>
      </w:r>
      <w:r>
        <w:rPr>
          <w:spacing w:val="-2"/>
          <w:sz w:val="18"/>
        </w:rPr>
        <w:t> </w:t>
      </w:r>
      <w:r>
        <w:rPr>
          <w:sz w:val="18"/>
        </w:rPr>
        <w:t>I.</w:t>
      </w:r>
      <w:r>
        <w:rPr>
          <w:spacing w:val="-39"/>
          <w:sz w:val="18"/>
        </w:rPr>
        <w:t> </w:t>
      </w:r>
      <w:r>
        <w:rPr>
          <w:sz w:val="18"/>
        </w:rPr>
        <w:t>(2019). Assessment of yeast, acetic and lactic acid bacteria isolated</w:t>
      </w:r>
      <w:r>
        <w:rPr>
          <w:spacing w:val="1"/>
          <w:sz w:val="18"/>
        </w:rPr>
        <w:t> </w:t>
      </w:r>
      <w:r>
        <w:rPr>
          <w:sz w:val="18"/>
        </w:rPr>
        <w:t>from</w:t>
      </w:r>
      <w:r>
        <w:rPr>
          <w:spacing w:val="-6"/>
          <w:sz w:val="18"/>
        </w:rPr>
        <w:t> </w:t>
      </w:r>
      <w:r>
        <w:rPr>
          <w:sz w:val="18"/>
        </w:rPr>
        <w:t>water</w:t>
      </w:r>
      <w:r>
        <w:rPr>
          <w:spacing w:val="-5"/>
          <w:sz w:val="18"/>
        </w:rPr>
        <w:t> </w:t>
      </w:r>
      <w:r>
        <w:rPr>
          <w:sz w:val="18"/>
        </w:rPr>
        <w:t>kefir</w:t>
      </w:r>
      <w:r>
        <w:rPr>
          <w:spacing w:val="-9"/>
          <w:sz w:val="18"/>
        </w:rPr>
        <w:t> </w:t>
      </w:r>
      <w:r>
        <w:rPr>
          <w:sz w:val="18"/>
        </w:rPr>
        <w:t>grains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7"/>
          <w:sz w:val="18"/>
        </w:rPr>
        <w:t> </w:t>
      </w:r>
      <w:r>
        <w:rPr>
          <w:sz w:val="18"/>
        </w:rPr>
        <w:t>their</w:t>
      </w:r>
      <w:r>
        <w:rPr>
          <w:spacing w:val="-5"/>
          <w:sz w:val="18"/>
        </w:rPr>
        <w:t> </w:t>
      </w:r>
      <w:r>
        <w:rPr>
          <w:sz w:val="18"/>
        </w:rPr>
        <w:t>application</w:t>
      </w:r>
      <w:r>
        <w:rPr>
          <w:spacing w:val="-3"/>
          <w:sz w:val="18"/>
        </w:rPr>
        <w:t> </w:t>
      </w:r>
      <w:r>
        <w:rPr>
          <w:sz w:val="18"/>
        </w:rPr>
        <w:t>as</w:t>
      </w:r>
      <w:r>
        <w:rPr>
          <w:spacing w:val="-8"/>
          <w:sz w:val="18"/>
        </w:rPr>
        <w:t> </w:t>
      </w:r>
      <w:r>
        <w:rPr>
          <w:sz w:val="18"/>
        </w:rPr>
        <w:t>starter</w:t>
      </w:r>
      <w:r>
        <w:rPr>
          <w:spacing w:val="-4"/>
          <w:sz w:val="18"/>
        </w:rPr>
        <w:t> </w:t>
      </w:r>
      <w:r>
        <w:rPr>
          <w:sz w:val="18"/>
        </w:rPr>
        <w:t>culture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38"/>
          <w:sz w:val="18"/>
        </w:rPr>
        <w:t> </w:t>
      </w:r>
      <w:r>
        <w:rPr>
          <w:sz w:val="18"/>
        </w:rPr>
        <w:t>production of fermented pumpkin-based water kefir beverages in</w:t>
      </w:r>
      <w:r>
        <w:rPr>
          <w:spacing w:val="1"/>
          <w:sz w:val="18"/>
        </w:rPr>
        <w:t> </w:t>
      </w:r>
      <w:r>
        <w:rPr>
          <w:sz w:val="18"/>
        </w:rPr>
        <w:t>improving gastrointestinal tract digestive tolerance and inhibition</w:t>
      </w:r>
      <w:r>
        <w:rPr>
          <w:spacing w:val="1"/>
          <w:sz w:val="18"/>
        </w:rPr>
        <w:t> </w:t>
      </w:r>
      <w:r>
        <w:rPr>
          <w:sz w:val="18"/>
        </w:rPr>
        <w:t>against</w:t>
      </w:r>
      <w:r>
        <w:rPr>
          <w:spacing w:val="1"/>
          <w:sz w:val="18"/>
        </w:rPr>
        <w:t> </w:t>
      </w:r>
      <w:r>
        <w:rPr>
          <w:sz w:val="18"/>
        </w:rPr>
        <w:t>alpha-glucosidase.</w:t>
      </w:r>
      <w:r>
        <w:rPr>
          <w:spacing w:val="1"/>
          <w:sz w:val="18"/>
        </w:rPr>
        <w:t> </w:t>
      </w:r>
      <w:r>
        <w:rPr>
          <w:sz w:val="18"/>
        </w:rPr>
        <w:t>International</w:t>
      </w:r>
      <w:r>
        <w:rPr>
          <w:spacing w:val="1"/>
          <w:sz w:val="18"/>
        </w:rPr>
        <w:t> </w:t>
      </w:r>
      <w:r>
        <w:rPr>
          <w:sz w:val="18"/>
        </w:rPr>
        <w:t>Food</w:t>
      </w:r>
      <w:r>
        <w:rPr>
          <w:spacing w:val="1"/>
          <w:sz w:val="18"/>
        </w:rPr>
        <w:t> </w:t>
      </w:r>
      <w:r>
        <w:rPr>
          <w:sz w:val="18"/>
        </w:rPr>
        <w:t>Research</w:t>
      </w:r>
      <w:r>
        <w:rPr>
          <w:spacing w:val="1"/>
          <w:sz w:val="18"/>
        </w:rPr>
        <w:t> </w:t>
      </w:r>
      <w:r>
        <w:rPr>
          <w:sz w:val="18"/>
        </w:rPr>
        <w:t>Journal,</w:t>
      </w:r>
      <w:r>
        <w:rPr>
          <w:spacing w:val="1"/>
          <w:sz w:val="18"/>
        </w:rPr>
        <w:t> </w:t>
      </w:r>
      <w:r>
        <w:rPr>
          <w:sz w:val="18"/>
        </w:rPr>
        <w:t>26(2),</w:t>
      </w:r>
      <w:r>
        <w:rPr>
          <w:spacing w:val="3"/>
          <w:sz w:val="18"/>
        </w:rPr>
        <w:t> </w:t>
      </w:r>
      <w:r>
        <w:rPr>
          <w:sz w:val="18"/>
        </w:rPr>
        <w:t>429–439.</w:t>
      </w:r>
    </w:p>
    <w:p>
      <w:pPr>
        <w:spacing w:after="0" w:line="218" w:lineRule="auto"/>
        <w:jc w:val="both"/>
        <w:rPr>
          <w:sz w:val="18"/>
        </w:rPr>
        <w:sectPr>
          <w:type w:val="continuous"/>
          <w:pgSz w:w="11910" w:h="16840"/>
          <w:pgMar w:top="1580" w:bottom="280" w:left="500" w:right="480"/>
          <w:cols w:num="2" w:equalWidth="0">
            <w:col w:w="5343" w:space="40"/>
            <w:col w:w="5547"/>
          </w:cols>
        </w:sectPr>
      </w:pPr>
    </w:p>
    <w:p>
      <w:pPr>
        <w:tabs>
          <w:tab w:pos="2343" w:val="left" w:leader="none"/>
          <w:tab w:pos="8605" w:val="left" w:leader="none"/>
        </w:tabs>
        <w:spacing w:before="141"/>
        <w:ind w:left="892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Photograph</w:t>
        <w:tab/>
      </w:r>
      <w:r>
        <w:rPr>
          <w:rFonts w:ascii="Calibri"/>
          <w:b/>
          <w:w w:val="100"/>
          <w:sz w:val="20"/>
          <w:u w:val="thick" w:color="004080"/>
        </w:rPr>
        <w:t> </w:t>
      </w:r>
      <w:r>
        <w:rPr>
          <w:rFonts w:ascii="Calibri"/>
          <w:b/>
          <w:sz w:val="20"/>
          <w:u w:val="thick" w:color="004080"/>
        </w:rPr>
        <w:tab/>
      </w:r>
    </w:p>
    <w:p>
      <w:pPr>
        <w:pStyle w:val="Heading1"/>
        <w:spacing w:before="132"/>
      </w:pPr>
      <w:r>
        <w:rPr/>
        <w:drawing>
          <wp:inline distT="0" distB="0" distL="0" distR="0">
            <wp:extent cx="838200" cy="1262379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6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color w:val="BE5A13"/>
        </w:rPr>
        <w:t>Biography</w:t>
      </w:r>
      <w:r>
        <w:rPr>
          <w:color w:val="BE5A13"/>
          <w:spacing w:val="-3"/>
        </w:rPr>
        <w:t> </w:t>
      </w:r>
      <w:r>
        <w:rPr>
          <w:color w:val="BE5A13"/>
        </w:rPr>
        <w:t>(150</w:t>
      </w:r>
      <w:r>
        <w:rPr>
          <w:color w:val="BE5A13"/>
          <w:spacing w:val="-4"/>
        </w:rPr>
        <w:t> </w:t>
      </w:r>
      <w:r>
        <w:rPr>
          <w:color w:val="BE5A13"/>
        </w:rPr>
        <w:t>word</w:t>
      </w:r>
      <w:r>
        <w:rPr>
          <w:color w:val="BE5A13"/>
          <w:spacing w:val="-3"/>
        </w:rPr>
        <w:t> </w:t>
      </w:r>
      <w:r>
        <w:rPr>
          <w:color w:val="BE5A13"/>
        </w:rPr>
        <w:t>limit)</w:t>
      </w:r>
    </w:p>
    <w:p>
      <w:pPr>
        <w:spacing w:line="230" w:lineRule="auto" w:before="39"/>
        <w:ind w:left="330" w:right="347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Dr. Koh Wee Yin is a senior lecturer in the Faculty of Food Science and Nutrition, Universiti Malaysia Sabah (UMS). She has a Bachelor of Food Science degree with</w:t>
      </w:r>
      <w:r>
        <w:rPr>
          <w:rFonts w:ascii="Arial MT"/>
          <w:spacing w:val="-36"/>
          <w:sz w:val="14"/>
        </w:rPr>
        <w:t> </w:t>
      </w:r>
      <w:r>
        <w:rPr>
          <w:rFonts w:ascii="Arial MT"/>
          <w:sz w:val="14"/>
        </w:rPr>
        <w:t>Honours in Food Technology and Bioprocessing from UMS and Doctor of Philosophy (Ph.D.) in Functional Food from Universiti Sains Malaysia. Her main research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interests include the study of probiotics as food adjuncts, indigenous fermentation technology, and functional food product development. She and her research team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had developed many food products from plant resources available in Malaysia. She and her team won numerous national and international innovation awards for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utilizing plant resources such as seaweeds, pumpkin fruits, and coconuts. She participated in many conferences at national and international levels presenting and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publishing research articles on the nutrient composition, antioxidative, physicochemical properties, fermentation kinetics, as well as biological activities and health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benefits of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plant-based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functional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foods.</w:t>
      </w:r>
    </w:p>
    <w:p>
      <w:pPr>
        <w:spacing w:line="153" w:lineRule="exact" w:before="60"/>
        <w:ind w:left="4438" w:right="4446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</w:p>
    <w:p>
      <w:pPr>
        <w:pStyle w:val="Heading1"/>
        <w:spacing w:line="241" w:lineRule="exact"/>
        <w:ind w:left="4441" w:right="4446"/>
        <w:jc w:val="center"/>
        <w:rPr>
          <w:rFonts w:ascii="Microsoft Sans Serif"/>
        </w:rPr>
      </w:pPr>
      <w:hyperlink r:id="rId5">
        <w:r>
          <w:rPr>
            <w:rFonts w:ascii="Microsoft Sans Serif"/>
            <w:color w:val="0000FF"/>
            <w:w w:val="95"/>
            <w:u w:val="single" w:color="0000FF"/>
          </w:rPr>
          <w:t>weeyin@ums.edu.my</w:t>
        </w:r>
      </w:hyperlink>
    </w:p>
    <w:p>
      <w:pPr>
        <w:spacing w:line="242" w:lineRule="auto" w:before="69"/>
        <w:ind w:left="4432" w:right="4446" w:firstLine="0"/>
        <w:jc w:val="center"/>
        <w:rPr>
          <w:rFonts w:ascii="Arial MT"/>
          <w:sz w:val="19"/>
        </w:rPr>
      </w:pPr>
      <w:r>
        <w:rPr>
          <w:rFonts w:ascii="Arial MT"/>
          <w:sz w:val="19"/>
        </w:rPr>
        <w:t>Type of Presentation:</w:t>
      </w:r>
      <w:r>
        <w:rPr>
          <w:rFonts w:ascii="Arial MT"/>
          <w:spacing w:val="-50"/>
          <w:sz w:val="19"/>
        </w:rPr>
        <w:t> </w:t>
      </w:r>
      <w:r>
        <w:rPr>
          <w:rFonts w:ascii="Arial MT"/>
          <w:sz w:val="19"/>
        </w:rPr>
        <w:t>Keynote</w:t>
      </w:r>
      <w:r>
        <w:rPr>
          <w:rFonts w:ascii="Arial MT"/>
          <w:spacing w:val="-3"/>
          <w:sz w:val="19"/>
        </w:rPr>
        <w:t> </w:t>
      </w:r>
      <w:r>
        <w:rPr>
          <w:rFonts w:ascii="Arial MT"/>
          <w:sz w:val="19"/>
        </w:rPr>
        <w:t>Speaker</w:t>
      </w:r>
    </w:p>
    <w:p>
      <w:pPr>
        <w:spacing w:before="1"/>
        <w:ind w:left="4072" w:right="4063" w:firstLine="0"/>
        <w:jc w:val="center"/>
        <w:rPr>
          <w:rFonts w:ascii="Arial MT"/>
          <w:sz w:val="19"/>
        </w:rPr>
      </w:pPr>
      <w:r>
        <w:rPr/>
        <w:pict>
          <v:shape style="position:absolute;margin-left:162.100006pt;margin-top:12.376565pt;width:271.05pt;height:.1pt;mso-position-horizontal-relative:page;mso-position-vertical-relative:paragraph;z-index:-15728640;mso-wrap-distance-left:0;mso-wrap-distance-right:0" coordorigin="3242,248" coordsize="5421,0" path="m3242,248l8663,248e" filled="false" stroked="true" strokeweight=".5pt" strokecolor="#004080">
            <v:path arrowok="t"/>
            <v:stroke dashstyle="solid"/>
            <w10:wrap type="topAndBottom"/>
          </v:shape>
        </w:pict>
      </w:r>
      <w:r>
        <w:rPr>
          <w:rFonts w:ascii="Arial MT"/>
          <w:sz w:val="19"/>
        </w:rPr>
        <w:t>Contact</w:t>
      </w:r>
      <w:r>
        <w:rPr>
          <w:rFonts w:ascii="Arial MT"/>
          <w:spacing w:val="-4"/>
          <w:sz w:val="19"/>
        </w:rPr>
        <w:t> </w:t>
      </w:r>
      <w:r>
        <w:rPr>
          <w:rFonts w:ascii="Arial MT"/>
          <w:sz w:val="19"/>
        </w:rPr>
        <w:t>Number:</w:t>
      </w:r>
      <w:r>
        <w:rPr>
          <w:rFonts w:ascii="Arial MT"/>
          <w:spacing w:val="-4"/>
          <w:sz w:val="19"/>
        </w:rPr>
        <w:t> </w:t>
      </w:r>
      <w:r>
        <w:rPr>
          <w:rFonts w:ascii="Arial MT"/>
          <w:sz w:val="19"/>
        </w:rPr>
        <w:t>+60179196280</w:t>
      </w:r>
    </w:p>
    <w:sectPr>
      <w:pgSz w:w="11910" w:h="16840"/>
      <w:pgMar w:top="1580" w:bottom="280" w:left="50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orbel">
    <w:altName w:val="Corbel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5" w:hanging="284"/>
        <w:jc w:val="left"/>
      </w:pPr>
      <w:rPr>
        <w:rFonts w:hint="default" w:ascii="Calibri" w:hAnsi="Calibri" w:eastAsia="Calibri" w:cs="Calibri"/>
        <w:spacing w:val="-16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3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6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19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6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3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7"/>
      <w:ind w:left="475" w:hanging="284"/>
      <w:jc w:val="both"/>
    </w:pPr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9"/>
      <w:outlineLvl w:val="1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2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475" w:right="114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eeyin@ums.edu.my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2023-04-19T02:06:46Z</dcterms:created>
  <dcterms:modified xsi:type="dcterms:W3CDTF">2023-04-19T02:06:46Z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2023-04-19T00:00:00Z</vt:filetime>
  </property>
</Properties>
</file>