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5861" w:rsidRDefault="00915861" w:rsidP="00915861">
      <w:pPr>
        <w:rPr>
          <w:rFonts w:ascii="Times New Roman" w:eastAsia="Times New Roman" w:hAnsi="Times New Roman" w:cs="Times New Roman"/>
          <w:b/>
          <w:sz w:val="32"/>
          <w:szCs w:val="24"/>
          <w:lang w:val="en-GB"/>
        </w:rPr>
      </w:pPr>
      <w:proofErr w:type="spellStart"/>
      <w:r>
        <w:rPr>
          <w:rFonts w:ascii="Times New Roman" w:eastAsia="Times New Roman" w:hAnsi="Times New Roman" w:cs="Times New Roman"/>
          <w:b/>
          <w:sz w:val="32"/>
          <w:szCs w:val="24"/>
          <w:lang w:val="en-GB"/>
        </w:rPr>
        <w:t>Remdesivir</w:t>
      </w:r>
      <w:proofErr w:type="spellEnd"/>
      <w:r>
        <w:rPr>
          <w:rFonts w:ascii="Times New Roman" w:eastAsia="Times New Roman" w:hAnsi="Times New Roman" w:cs="Times New Roman"/>
          <w:b/>
          <w:sz w:val="32"/>
          <w:szCs w:val="24"/>
          <w:lang w:val="en-GB"/>
        </w:rPr>
        <w:t xml:space="preserve"> in COVID-19 patients with kidney disease: A study on the renal function and outcomes</w:t>
      </w:r>
    </w:p>
    <w:p w:rsidR="00915861" w:rsidRDefault="00915861" w:rsidP="00915861">
      <w:pPr>
        <w:rPr>
          <w:rFonts w:ascii="Times New Roman" w:eastAsia="Times New Roman" w:hAnsi="Times New Roman" w:cs="Times New Roman"/>
          <w:b/>
          <w:sz w:val="24"/>
          <w:szCs w:val="24"/>
          <w:lang w:val="en-GB"/>
        </w:rPr>
      </w:pPr>
    </w:p>
    <w:p w:rsidR="00915861" w:rsidRDefault="00186453" w:rsidP="00915861">
      <w:pPr>
        <w:rPr>
          <w:rFonts w:ascii="Times New Roman" w:eastAsia="Times New Roman" w:hAnsi="Times New Roman" w:cs="Times New Roman"/>
          <w:sz w:val="24"/>
          <w:szCs w:val="24"/>
          <w:lang w:val="en-GB"/>
        </w:rPr>
      </w:pPr>
      <w:proofErr w:type="spellStart"/>
      <w:r w:rsidRPr="00186453">
        <w:rPr>
          <w:rFonts w:ascii="Times New Roman" w:eastAsia="Times New Roman" w:hAnsi="Times New Roman" w:cs="Times New Roman"/>
          <w:b/>
          <w:sz w:val="24"/>
          <w:szCs w:val="24"/>
          <w:lang w:val="en-GB"/>
        </w:rPr>
        <w:t>Lagura</w:t>
      </w:r>
      <w:proofErr w:type="spellEnd"/>
      <w:r w:rsidRPr="00186453">
        <w:rPr>
          <w:rFonts w:ascii="Times New Roman" w:eastAsia="Times New Roman" w:hAnsi="Times New Roman" w:cs="Times New Roman"/>
          <w:b/>
          <w:sz w:val="24"/>
          <w:szCs w:val="24"/>
          <w:lang w:val="en-GB"/>
        </w:rPr>
        <w:t>,</w:t>
      </w:r>
      <w:r>
        <w:rPr>
          <w:rFonts w:ascii="Times New Roman" w:eastAsia="Times New Roman" w:hAnsi="Times New Roman" w:cs="Times New Roman"/>
          <w:b/>
          <w:sz w:val="24"/>
          <w:szCs w:val="24"/>
          <w:lang w:val="en-GB"/>
        </w:rPr>
        <w:t xml:space="preserve"> </w:t>
      </w:r>
      <w:r w:rsidRPr="00186453">
        <w:rPr>
          <w:rFonts w:ascii="Times New Roman" w:eastAsia="Times New Roman" w:hAnsi="Times New Roman" w:cs="Times New Roman"/>
          <w:b/>
          <w:sz w:val="24"/>
          <w:szCs w:val="24"/>
          <w:lang w:val="en-GB"/>
        </w:rPr>
        <w:t>Crystal</w:t>
      </w:r>
      <w:r w:rsidR="00915861">
        <w:rPr>
          <w:rFonts w:ascii="Times New Roman" w:eastAsia="Times New Roman" w:hAnsi="Times New Roman" w:cs="Times New Roman"/>
          <w:b/>
          <w:sz w:val="24"/>
          <w:szCs w:val="24"/>
          <w:lang w:val="en-GB"/>
        </w:rPr>
        <w:t xml:space="preserve">*, </w:t>
      </w:r>
      <w:proofErr w:type="spellStart"/>
      <w:r w:rsidRPr="00186453">
        <w:rPr>
          <w:rFonts w:ascii="Times New Roman" w:eastAsia="Times New Roman" w:hAnsi="Times New Roman" w:cs="Times New Roman"/>
          <w:b/>
          <w:sz w:val="24"/>
          <w:szCs w:val="24"/>
          <w:lang w:val="en-GB"/>
        </w:rPr>
        <w:t>Elido</w:t>
      </w:r>
      <w:proofErr w:type="spellEnd"/>
      <w:r w:rsidRPr="00186453">
        <w:rPr>
          <w:rFonts w:ascii="Times New Roman" w:eastAsia="Times New Roman" w:hAnsi="Times New Roman" w:cs="Times New Roman"/>
          <w:b/>
          <w:sz w:val="24"/>
          <w:szCs w:val="24"/>
          <w:lang w:val="en-GB"/>
        </w:rPr>
        <w:t xml:space="preserve">, </w:t>
      </w:r>
      <w:proofErr w:type="spellStart"/>
      <w:r w:rsidRPr="00186453">
        <w:rPr>
          <w:rFonts w:ascii="Times New Roman" w:eastAsia="Times New Roman" w:hAnsi="Times New Roman" w:cs="Times New Roman"/>
          <w:b/>
          <w:sz w:val="24"/>
          <w:szCs w:val="24"/>
          <w:lang w:val="en-GB"/>
        </w:rPr>
        <w:t>Vun</w:t>
      </w:r>
      <w:proofErr w:type="spellEnd"/>
      <w:r w:rsidRPr="00186453">
        <w:rPr>
          <w:rFonts w:ascii="Times New Roman" w:eastAsia="Times New Roman" w:hAnsi="Times New Roman" w:cs="Times New Roman"/>
          <w:b/>
          <w:sz w:val="24"/>
          <w:szCs w:val="24"/>
          <w:lang w:val="en-GB"/>
        </w:rPr>
        <w:t xml:space="preserve"> </w:t>
      </w:r>
      <w:proofErr w:type="spellStart"/>
      <w:r w:rsidRPr="00186453">
        <w:rPr>
          <w:rFonts w:ascii="Times New Roman" w:eastAsia="Times New Roman" w:hAnsi="Times New Roman" w:cs="Times New Roman"/>
          <w:b/>
          <w:sz w:val="24"/>
          <w:szCs w:val="24"/>
          <w:lang w:val="en-GB"/>
        </w:rPr>
        <w:t>Bryann</w:t>
      </w:r>
      <w:proofErr w:type="spellEnd"/>
      <w:r w:rsidR="00915861">
        <w:rPr>
          <w:rFonts w:ascii="Times New Roman" w:eastAsia="Times New Roman" w:hAnsi="Times New Roman" w:cs="Times New Roman"/>
          <w:b/>
          <w:sz w:val="24"/>
          <w:szCs w:val="24"/>
          <w:lang w:val="en-GB"/>
        </w:rPr>
        <w:t xml:space="preserve">, </w:t>
      </w:r>
      <w:proofErr w:type="spellStart"/>
      <w:r w:rsidRPr="00186453">
        <w:rPr>
          <w:rFonts w:ascii="Times New Roman" w:eastAsia="Times New Roman" w:hAnsi="Times New Roman" w:cs="Times New Roman"/>
          <w:b/>
          <w:sz w:val="24"/>
          <w:szCs w:val="24"/>
          <w:lang w:val="en-GB"/>
        </w:rPr>
        <w:t>Togonon-Leano</w:t>
      </w:r>
      <w:proofErr w:type="spellEnd"/>
      <w:r w:rsidRPr="00186453">
        <w:rPr>
          <w:rFonts w:ascii="Times New Roman" w:eastAsia="Times New Roman" w:hAnsi="Times New Roman" w:cs="Times New Roman"/>
          <w:b/>
          <w:sz w:val="24"/>
          <w:szCs w:val="24"/>
          <w:lang w:val="en-GB"/>
        </w:rPr>
        <w:t>, Jennifer Ivy</w:t>
      </w:r>
      <w:r>
        <w:rPr>
          <w:rFonts w:ascii="Times New Roman" w:eastAsia="Times New Roman" w:hAnsi="Times New Roman" w:cs="Times New Roman"/>
          <w:b/>
          <w:sz w:val="24"/>
          <w:szCs w:val="24"/>
          <w:lang w:val="en-GB"/>
        </w:rPr>
        <w:t xml:space="preserve"> </w:t>
      </w:r>
      <w:r w:rsidR="00915861">
        <w:rPr>
          <w:rFonts w:ascii="Times New Roman" w:eastAsia="Times New Roman" w:hAnsi="Times New Roman" w:cs="Times New Roman"/>
          <w:sz w:val="24"/>
          <w:szCs w:val="24"/>
          <w:lang w:val="en-GB"/>
        </w:rPr>
        <w:t xml:space="preserve">and </w:t>
      </w:r>
      <w:proofErr w:type="spellStart"/>
      <w:r w:rsidRPr="00186453">
        <w:rPr>
          <w:rFonts w:ascii="Times New Roman" w:eastAsia="Times New Roman" w:hAnsi="Times New Roman" w:cs="Times New Roman"/>
          <w:b/>
          <w:sz w:val="24"/>
          <w:szCs w:val="24"/>
          <w:lang w:val="en-GB"/>
        </w:rPr>
        <w:t>Barez</w:t>
      </w:r>
      <w:proofErr w:type="spellEnd"/>
      <w:r w:rsidRPr="00186453">
        <w:rPr>
          <w:rFonts w:ascii="Times New Roman" w:eastAsia="Times New Roman" w:hAnsi="Times New Roman" w:cs="Times New Roman"/>
          <w:b/>
          <w:sz w:val="24"/>
          <w:szCs w:val="24"/>
          <w:lang w:val="en-GB"/>
        </w:rPr>
        <w:t>, Marie Yvette</w:t>
      </w:r>
    </w:p>
    <w:p w:rsidR="00915861" w:rsidRDefault="00915861" w:rsidP="00915861">
      <w:pPr>
        <w:rPr>
          <w:rFonts w:ascii="Times New Roman" w:hAnsi="Times New Roman" w:cs="Times New Roman"/>
          <w:sz w:val="24"/>
          <w:szCs w:val="24"/>
          <w:lang w:val="fr-FR"/>
        </w:rPr>
      </w:pPr>
      <w:proofErr w:type="spellStart"/>
      <w:r>
        <w:rPr>
          <w:rFonts w:ascii="Times New Roman" w:hAnsi="Times New Roman" w:cs="Times New Roman"/>
          <w:sz w:val="24"/>
          <w:szCs w:val="24"/>
          <w:lang w:val="fr-FR"/>
        </w:rPr>
        <w:t>Southern</w:t>
      </w:r>
      <w:proofErr w:type="spellEnd"/>
      <w:r>
        <w:rPr>
          <w:rFonts w:ascii="Times New Roman" w:hAnsi="Times New Roman" w:cs="Times New Roman"/>
          <w:sz w:val="24"/>
          <w:szCs w:val="24"/>
          <w:lang w:val="fr-FR"/>
        </w:rPr>
        <w:t xml:space="preserve"> Philippines </w:t>
      </w:r>
      <w:proofErr w:type="spellStart"/>
      <w:r>
        <w:rPr>
          <w:rFonts w:ascii="Times New Roman" w:hAnsi="Times New Roman" w:cs="Times New Roman"/>
          <w:sz w:val="24"/>
          <w:szCs w:val="24"/>
          <w:lang w:val="fr-FR"/>
        </w:rPr>
        <w:t>Medical</w:t>
      </w:r>
      <w:proofErr w:type="spellEnd"/>
      <w:r>
        <w:rPr>
          <w:rFonts w:ascii="Times New Roman" w:hAnsi="Times New Roman" w:cs="Times New Roman"/>
          <w:sz w:val="24"/>
          <w:szCs w:val="24"/>
          <w:lang w:val="fr-FR"/>
        </w:rPr>
        <w:t xml:space="preserve"> Center, Philippines</w:t>
      </w:r>
    </w:p>
    <w:p w:rsidR="00915861" w:rsidRDefault="00915861" w:rsidP="00915861">
      <w:pPr>
        <w:rPr>
          <w:rFonts w:ascii="Times New Roman" w:hAnsi="Times New Roman" w:cs="Times New Roman"/>
          <w:sz w:val="24"/>
          <w:szCs w:val="24"/>
          <w:lang w:val="fr-FR"/>
        </w:rPr>
      </w:pPr>
    </w:p>
    <w:p w:rsidR="00915861" w:rsidRDefault="00915861" w:rsidP="00915861">
      <w:pPr>
        <w:rPr>
          <w:rFonts w:ascii="Times New Roman" w:hAnsi="Times New Roman" w:cs="Times New Roman"/>
          <w:sz w:val="24"/>
          <w:szCs w:val="24"/>
          <w:lang w:val="fr-FR"/>
        </w:rPr>
      </w:pPr>
    </w:p>
    <w:p w:rsidR="00915861" w:rsidRDefault="00915861" w:rsidP="00915861">
      <w:pPr>
        <w:jc w:val="center"/>
        <w:rPr>
          <w:rFonts w:ascii="Times New Roman" w:hAnsi="Times New Roman" w:cs="Times New Roman"/>
          <w:b/>
          <w:sz w:val="24"/>
          <w:szCs w:val="24"/>
        </w:rPr>
      </w:pPr>
      <w:r>
        <w:rPr>
          <w:rFonts w:ascii="Times New Roman" w:hAnsi="Times New Roman" w:cs="Times New Roman"/>
          <w:b/>
          <w:sz w:val="24"/>
          <w:szCs w:val="24"/>
        </w:rPr>
        <w:t>Abstract</w:t>
      </w:r>
    </w:p>
    <w:p w:rsidR="00915861" w:rsidRDefault="00915861" w:rsidP="00915861">
      <w:pPr>
        <w:jc w:val="center"/>
        <w:rPr>
          <w:rFonts w:ascii="Times New Roman" w:hAnsi="Times New Roman" w:cs="Times New Roman"/>
          <w:b/>
          <w:sz w:val="24"/>
          <w:szCs w:val="24"/>
        </w:rPr>
      </w:pPr>
      <w:bookmarkStart w:id="0" w:name="_GoBack"/>
      <w:bookmarkEnd w:id="0"/>
    </w:p>
    <w:p w:rsidR="00915861" w:rsidRDefault="00915861" w:rsidP="00915861">
      <w:pPr>
        <w:pStyle w:val="NoSpacing"/>
        <w:jc w:val="both"/>
        <w:rPr>
          <w:rFonts w:ascii="Times New Roman" w:hAnsi="Times New Roman"/>
          <w:sz w:val="24"/>
          <w:szCs w:val="24"/>
          <w:lang w:val="en-US"/>
        </w:rPr>
      </w:pPr>
      <w:r>
        <w:rPr>
          <w:rFonts w:ascii="Times New Roman" w:hAnsi="Times New Roman"/>
          <w:sz w:val="24"/>
          <w:szCs w:val="24"/>
          <w:lang w:val="en-US"/>
        </w:rPr>
        <w:t xml:space="preserve">The COVID-19 pandemic has high mortality rates in patients with kidney disease.  </w:t>
      </w:r>
      <w:proofErr w:type="spellStart"/>
      <w:r>
        <w:rPr>
          <w:rFonts w:ascii="Times New Roman" w:hAnsi="Times New Roman"/>
          <w:sz w:val="24"/>
          <w:szCs w:val="24"/>
          <w:lang w:val="en-US"/>
        </w:rPr>
        <w:t>Remdesivir</w:t>
      </w:r>
      <w:proofErr w:type="spellEnd"/>
      <w:r>
        <w:rPr>
          <w:rFonts w:ascii="Times New Roman" w:hAnsi="Times New Roman"/>
          <w:sz w:val="24"/>
          <w:szCs w:val="24"/>
          <w:lang w:val="en-US"/>
        </w:rPr>
        <w:t xml:space="preserve">, an antiviral nucleotide prodrug, showed to shorten time to recovery in adults hospitalized with COVID 19. However, individuals with kidney disease were not included in clinical trials, thus when emergency use authorization was granted, it was recommended to avoid use in patients with </w:t>
      </w:r>
      <w:proofErr w:type="spellStart"/>
      <w:r>
        <w:rPr>
          <w:rFonts w:ascii="Times New Roman" w:hAnsi="Times New Roman"/>
          <w:sz w:val="24"/>
          <w:szCs w:val="24"/>
          <w:lang w:val="en-US"/>
        </w:rPr>
        <w:t>eGFR</w:t>
      </w:r>
      <w:proofErr w:type="spellEnd"/>
      <w:r>
        <w:rPr>
          <w:rFonts w:ascii="Times New Roman" w:hAnsi="Times New Roman"/>
          <w:sz w:val="24"/>
          <w:szCs w:val="24"/>
          <w:lang w:val="en-US"/>
        </w:rPr>
        <w:t xml:space="preserve"> &lt;30mL/min “unless benefit outweighs the risk”. In this study, we aim to determine the effect of </w:t>
      </w:r>
      <w:proofErr w:type="spellStart"/>
      <w:r>
        <w:rPr>
          <w:rFonts w:ascii="Times New Roman" w:hAnsi="Times New Roman"/>
          <w:sz w:val="24"/>
          <w:szCs w:val="24"/>
          <w:lang w:val="en-US"/>
        </w:rPr>
        <w:t>Remdesivir</w:t>
      </w:r>
      <w:proofErr w:type="spellEnd"/>
      <w:r>
        <w:rPr>
          <w:rFonts w:ascii="Times New Roman" w:hAnsi="Times New Roman"/>
          <w:sz w:val="24"/>
          <w:szCs w:val="24"/>
          <w:lang w:val="en-US"/>
        </w:rPr>
        <w:t xml:space="preserve"> on renal function and outcomes among COVID19 patients with kidney disease.</w:t>
      </w:r>
    </w:p>
    <w:p w:rsidR="00915861" w:rsidRDefault="00915861" w:rsidP="00915861">
      <w:pPr>
        <w:pStyle w:val="NoSpacing"/>
        <w:jc w:val="both"/>
        <w:rPr>
          <w:rFonts w:ascii="Times New Roman" w:hAnsi="Times New Roman"/>
          <w:sz w:val="24"/>
          <w:szCs w:val="24"/>
          <w:lang w:val="en-US"/>
        </w:rPr>
      </w:pPr>
    </w:p>
    <w:p w:rsidR="00915861" w:rsidRDefault="00915861" w:rsidP="00915861">
      <w:pPr>
        <w:pStyle w:val="NoSpacing"/>
        <w:jc w:val="both"/>
        <w:rPr>
          <w:rFonts w:ascii="Times New Roman" w:hAnsi="Times New Roman"/>
          <w:sz w:val="24"/>
          <w:szCs w:val="24"/>
          <w:lang w:val="en-US"/>
        </w:rPr>
      </w:pPr>
      <w:r>
        <w:rPr>
          <w:rFonts w:ascii="Times New Roman" w:hAnsi="Times New Roman"/>
          <w:sz w:val="24"/>
          <w:szCs w:val="24"/>
          <w:lang w:val="en-US"/>
        </w:rPr>
        <w:t xml:space="preserve">This retrospective study included the following: &gt;18 years old, RT-PCR confirmed COVID19 infection treated with </w:t>
      </w:r>
      <w:proofErr w:type="spellStart"/>
      <w:r>
        <w:rPr>
          <w:rFonts w:ascii="Times New Roman" w:hAnsi="Times New Roman"/>
          <w:sz w:val="24"/>
          <w:szCs w:val="24"/>
          <w:lang w:val="en-US"/>
        </w:rPr>
        <w:t>Remdesivir</w:t>
      </w:r>
      <w:proofErr w:type="spellEnd"/>
      <w:r>
        <w:rPr>
          <w:rFonts w:ascii="Times New Roman" w:hAnsi="Times New Roman"/>
          <w:sz w:val="24"/>
          <w:szCs w:val="24"/>
          <w:lang w:val="en-US"/>
        </w:rPr>
        <w:t xml:space="preserve"> and who were confirmed to have kidney disease.</w:t>
      </w:r>
    </w:p>
    <w:p w:rsidR="00915861" w:rsidRDefault="00915861" w:rsidP="00915861">
      <w:pPr>
        <w:pStyle w:val="NoSpacing"/>
        <w:jc w:val="both"/>
        <w:rPr>
          <w:rFonts w:ascii="Times New Roman" w:hAnsi="Times New Roman"/>
          <w:sz w:val="24"/>
          <w:szCs w:val="24"/>
          <w:lang w:val="en-US"/>
        </w:rPr>
      </w:pPr>
    </w:p>
    <w:p w:rsidR="00915861" w:rsidRDefault="00915861" w:rsidP="00915861">
      <w:pPr>
        <w:pStyle w:val="NoSpacing"/>
        <w:jc w:val="both"/>
        <w:rPr>
          <w:rFonts w:ascii="Times New Roman" w:hAnsi="Times New Roman"/>
          <w:sz w:val="24"/>
          <w:szCs w:val="24"/>
          <w:lang w:val="en-US"/>
        </w:rPr>
      </w:pPr>
      <w:r>
        <w:rPr>
          <w:rFonts w:ascii="Times New Roman" w:hAnsi="Times New Roman"/>
          <w:sz w:val="24"/>
          <w:szCs w:val="24"/>
          <w:lang w:val="en-US"/>
        </w:rPr>
        <w:t>There were 106 patients included; the mean age was 62.25</w:t>
      </w:r>
      <w:r>
        <w:rPr>
          <w:rFonts w:ascii="Times New Roman" w:hAnsi="Times New Roman"/>
          <w:sz w:val="24"/>
          <w:szCs w:val="24"/>
          <w:rtl/>
        </w:rPr>
        <w:t>±</w:t>
      </w:r>
      <w:r>
        <w:rPr>
          <w:rFonts w:ascii="Times New Roman" w:hAnsi="Times New Roman"/>
          <w:sz w:val="24"/>
          <w:szCs w:val="24"/>
          <w:lang w:val="en-US"/>
        </w:rPr>
        <w:t xml:space="preserve">13.96 years old, more than half of the </w:t>
      </w:r>
      <w:proofErr w:type="gramStart"/>
      <w:r>
        <w:rPr>
          <w:rFonts w:ascii="Times New Roman" w:hAnsi="Times New Roman"/>
          <w:sz w:val="24"/>
          <w:szCs w:val="24"/>
          <w:lang w:val="en-US"/>
        </w:rPr>
        <w:t>population were</w:t>
      </w:r>
      <w:proofErr w:type="gramEnd"/>
      <w:r>
        <w:rPr>
          <w:rFonts w:ascii="Times New Roman" w:hAnsi="Times New Roman"/>
          <w:sz w:val="24"/>
          <w:szCs w:val="24"/>
          <w:lang w:val="en-US"/>
        </w:rPr>
        <w:t xml:space="preserve"> males (53%). The majority of the population had acute kidney injury (70.7%) while the rest had chronic kidney disease and 25% underwent renal replacement therapy. Most of them were classified as severe (66%) and critical (25%) </w:t>
      </w:r>
      <w:proofErr w:type="gramStart"/>
      <w:r>
        <w:rPr>
          <w:rFonts w:ascii="Times New Roman" w:hAnsi="Times New Roman"/>
          <w:sz w:val="24"/>
          <w:szCs w:val="24"/>
          <w:lang w:val="en-US"/>
        </w:rPr>
        <w:t>COVID infection.</w:t>
      </w:r>
      <w:proofErr w:type="gramEnd"/>
      <w:r>
        <w:rPr>
          <w:rFonts w:ascii="Times New Roman" w:hAnsi="Times New Roman"/>
          <w:sz w:val="24"/>
          <w:szCs w:val="24"/>
          <w:lang w:val="en-US"/>
        </w:rPr>
        <w:t xml:space="preserve"> </w:t>
      </w:r>
    </w:p>
    <w:p w:rsidR="00915861" w:rsidRDefault="00915861" w:rsidP="00915861">
      <w:pPr>
        <w:pStyle w:val="NoSpacing"/>
        <w:jc w:val="both"/>
        <w:rPr>
          <w:rFonts w:ascii="Times New Roman" w:hAnsi="Times New Roman"/>
          <w:sz w:val="24"/>
          <w:szCs w:val="24"/>
          <w:lang w:val="en-US"/>
        </w:rPr>
      </w:pPr>
    </w:p>
    <w:p w:rsidR="00915861" w:rsidRDefault="00915861" w:rsidP="00915861">
      <w:pPr>
        <w:pStyle w:val="NoSpacing"/>
        <w:jc w:val="both"/>
        <w:rPr>
          <w:rFonts w:ascii="Times New Roman" w:hAnsi="Times New Roman"/>
          <w:sz w:val="24"/>
          <w:szCs w:val="24"/>
          <w:lang w:val="en-US"/>
        </w:rPr>
      </w:pPr>
      <w:r>
        <w:rPr>
          <w:rFonts w:ascii="Times New Roman" w:hAnsi="Times New Roman"/>
          <w:sz w:val="24"/>
          <w:szCs w:val="24"/>
          <w:lang w:val="en-US"/>
        </w:rPr>
        <w:t xml:space="preserve">To determine effects on renal function laboratory parameters were determined at baseline and after completion of treatment. There was an overall significant improvement in </w:t>
      </w:r>
      <w:proofErr w:type="spellStart"/>
      <w:r>
        <w:rPr>
          <w:rFonts w:ascii="Times New Roman" w:hAnsi="Times New Roman"/>
          <w:sz w:val="24"/>
          <w:szCs w:val="24"/>
          <w:lang w:val="en-US"/>
        </w:rPr>
        <w:t>eGFR</w:t>
      </w:r>
      <w:proofErr w:type="spellEnd"/>
      <w:r>
        <w:rPr>
          <w:rFonts w:ascii="Times New Roman" w:hAnsi="Times New Roman"/>
          <w:sz w:val="24"/>
          <w:szCs w:val="24"/>
          <w:lang w:val="en-US"/>
        </w:rPr>
        <w:t xml:space="preserve"> </w:t>
      </w:r>
      <w:r>
        <w:rPr>
          <w:rFonts w:ascii="Times New Roman" w:hAnsi="Times New Roman"/>
          <w:sz w:val="24"/>
          <w:szCs w:val="24"/>
        </w:rPr>
        <w:t>(&lt;0.01), albuminuria (0.013)</w:t>
      </w:r>
      <w:r>
        <w:rPr>
          <w:rFonts w:ascii="Times New Roman" w:hAnsi="Times New Roman"/>
          <w:sz w:val="24"/>
          <w:szCs w:val="24"/>
          <w:lang w:val="en-US"/>
        </w:rPr>
        <w:t xml:space="preserve"> and in acid-base balance </w:t>
      </w:r>
      <w:r>
        <w:rPr>
          <w:rFonts w:ascii="Times New Roman" w:hAnsi="Times New Roman"/>
          <w:sz w:val="24"/>
          <w:szCs w:val="24"/>
        </w:rPr>
        <w:t>(0.003)</w:t>
      </w:r>
      <w:r>
        <w:rPr>
          <w:rFonts w:ascii="Times New Roman" w:hAnsi="Times New Roman"/>
          <w:sz w:val="24"/>
          <w:szCs w:val="24"/>
          <w:lang w:val="en-US"/>
        </w:rPr>
        <w:t xml:space="preserve"> and odds ratio showed that none of the demographic, clinical and laboratory profile significantly increased the chance of death in terms of overall clinical outcome. </w:t>
      </w:r>
    </w:p>
    <w:p w:rsidR="00915861" w:rsidRDefault="00915861" w:rsidP="00915861">
      <w:pPr>
        <w:pStyle w:val="NoSpacing"/>
        <w:jc w:val="both"/>
        <w:rPr>
          <w:rFonts w:ascii="Times New Roman" w:hAnsi="Times New Roman"/>
          <w:sz w:val="24"/>
          <w:szCs w:val="24"/>
          <w:lang w:val="en-US"/>
        </w:rPr>
      </w:pPr>
    </w:p>
    <w:p w:rsidR="00915861" w:rsidRDefault="00915861" w:rsidP="00915861">
      <w:pPr>
        <w:pStyle w:val="NoSpacing"/>
        <w:jc w:val="both"/>
        <w:rPr>
          <w:rFonts w:ascii="Times New Roman" w:hAnsi="Times New Roman"/>
          <w:sz w:val="24"/>
          <w:szCs w:val="24"/>
          <w:lang w:val="en-US"/>
        </w:rPr>
      </w:pPr>
      <w:r>
        <w:rPr>
          <w:rFonts w:ascii="Times New Roman" w:hAnsi="Times New Roman"/>
          <w:sz w:val="24"/>
          <w:szCs w:val="24"/>
          <w:lang w:val="en-US"/>
        </w:rPr>
        <w:t>In terms of overall clinical outcome, this study had a mortality rate of 4.9% as 5 out of 106 patients expired.</w:t>
      </w:r>
    </w:p>
    <w:p w:rsidR="00915861" w:rsidRDefault="00915861" w:rsidP="00915861">
      <w:pPr>
        <w:pStyle w:val="NoSpacing"/>
        <w:jc w:val="both"/>
        <w:rPr>
          <w:rFonts w:ascii="Times New Roman" w:hAnsi="Times New Roman"/>
          <w:sz w:val="24"/>
          <w:szCs w:val="24"/>
        </w:rPr>
      </w:pPr>
    </w:p>
    <w:p w:rsidR="00915861" w:rsidRDefault="00915861" w:rsidP="00915861">
      <w:pPr>
        <w:pStyle w:val="NoSpacing"/>
        <w:jc w:val="both"/>
        <w:rPr>
          <w:rFonts w:ascii="Times New Roman" w:hAnsi="Times New Roman"/>
          <w:sz w:val="24"/>
          <w:szCs w:val="24"/>
          <w:lang w:val="en-US"/>
        </w:rPr>
      </w:pPr>
      <w:r>
        <w:rPr>
          <w:rFonts w:ascii="Times New Roman" w:hAnsi="Times New Roman"/>
          <w:sz w:val="24"/>
          <w:szCs w:val="24"/>
          <w:lang w:val="en-US"/>
        </w:rPr>
        <w:t xml:space="preserve">Use of </w:t>
      </w:r>
      <w:proofErr w:type="spellStart"/>
      <w:r>
        <w:rPr>
          <w:rFonts w:ascii="Times New Roman" w:hAnsi="Times New Roman"/>
          <w:sz w:val="24"/>
          <w:szCs w:val="24"/>
          <w:lang w:val="en-US"/>
        </w:rPr>
        <w:t>Remdesivir</w:t>
      </w:r>
      <w:proofErr w:type="spellEnd"/>
      <w:r>
        <w:rPr>
          <w:rFonts w:ascii="Times New Roman" w:hAnsi="Times New Roman"/>
          <w:sz w:val="24"/>
          <w:szCs w:val="24"/>
          <w:lang w:val="en-US"/>
        </w:rPr>
        <w:t xml:space="preserve"> in patients with kidney disease was not associated with renal function deterioration. Contrary to concerns there was rather an overall significant improvement in </w:t>
      </w:r>
      <w:proofErr w:type="spellStart"/>
      <w:r>
        <w:rPr>
          <w:rFonts w:ascii="Times New Roman" w:hAnsi="Times New Roman"/>
          <w:sz w:val="24"/>
          <w:szCs w:val="24"/>
          <w:lang w:val="en-US"/>
        </w:rPr>
        <w:t>eGFR</w:t>
      </w:r>
      <w:proofErr w:type="spellEnd"/>
      <w:r>
        <w:rPr>
          <w:rFonts w:ascii="Times New Roman" w:hAnsi="Times New Roman"/>
          <w:sz w:val="24"/>
          <w:szCs w:val="24"/>
          <w:lang w:val="en-US"/>
        </w:rPr>
        <w:t>, degree of albuminuria and acid-base balance after treatment regardless of their disease severity and its use in patients on hemodialysis have not shown any detrimental impact on mortality.</w:t>
      </w:r>
    </w:p>
    <w:p w:rsidR="00915861" w:rsidRDefault="00915861" w:rsidP="00915861">
      <w:pPr>
        <w:pStyle w:val="NoSpacing"/>
        <w:jc w:val="both"/>
        <w:rPr>
          <w:rFonts w:ascii="Times New Roman" w:hAnsi="Times New Roman"/>
          <w:b/>
          <w:color w:val="BF5A14"/>
          <w:sz w:val="24"/>
          <w:szCs w:val="24"/>
        </w:rPr>
      </w:pPr>
      <w:r>
        <w:rPr>
          <w:rFonts w:ascii="Times New Roman" w:hAnsi="Times New Roman"/>
          <w:b/>
          <w:color w:val="BF5A14"/>
          <w:sz w:val="24"/>
          <w:szCs w:val="24"/>
        </w:rPr>
        <w:t xml:space="preserve"> </w:t>
      </w:r>
    </w:p>
    <w:p w:rsidR="00915861" w:rsidRDefault="00915861" w:rsidP="00915861">
      <w:pPr>
        <w:rPr>
          <w:rFonts w:ascii="Times New Roman" w:hAnsi="Times New Roman" w:cs="Times New Roman"/>
          <w:b/>
          <w:sz w:val="24"/>
          <w:szCs w:val="24"/>
        </w:rPr>
      </w:pPr>
      <w:r>
        <w:rPr>
          <w:rFonts w:ascii="Times New Roman" w:hAnsi="Times New Roman" w:cs="Times New Roman"/>
          <w:b/>
          <w:sz w:val="24"/>
          <w:szCs w:val="24"/>
        </w:rPr>
        <w:t xml:space="preserve">Recent Publications </w:t>
      </w:r>
      <w:r>
        <w:rPr>
          <w:rFonts w:ascii="Times New Roman" w:hAnsi="Times New Roman" w:cs="Times New Roman"/>
          <w:b/>
          <w:sz w:val="24"/>
          <w:szCs w:val="24"/>
        </w:rPr>
        <w:br/>
      </w:r>
    </w:p>
    <w:p w:rsidR="00915861" w:rsidRDefault="00915861" w:rsidP="00915861">
      <w:pPr>
        <w:pStyle w:val="ListParagraph"/>
        <w:numPr>
          <w:ilvl w:val="0"/>
          <w:numId w:val="1"/>
        </w:numPr>
        <w:tabs>
          <w:tab w:val="left" w:pos="384"/>
        </w:tabs>
        <w:spacing w:line="240" w:lineRule="auto"/>
        <w:ind w:right="117"/>
        <w:rPr>
          <w:rFonts w:ascii="Times New Roman" w:hAnsi="Times New Roman" w:cs="Times New Roman"/>
          <w:sz w:val="24"/>
          <w:szCs w:val="24"/>
        </w:rPr>
      </w:pPr>
      <w:proofErr w:type="spellStart"/>
      <w:r>
        <w:rPr>
          <w:rFonts w:ascii="Times New Roman" w:hAnsi="Times New Roman" w:cs="Times New Roman"/>
          <w:sz w:val="24"/>
          <w:szCs w:val="24"/>
        </w:rPr>
        <w:t>Adamsick</w:t>
      </w:r>
      <w:proofErr w:type="spellEnd"/>
      <w:r>
        <w:rPr>
          <w:rFonts w:ascii="Times New Roman" w:hAnsi="Times New Roman" w:cs="Times New Roman"/>
          <w:sz w:val="24"/>
          <w:szCs w:val="24"/>
        </w:rPr>
        <w:t xml:space="preserve">, M., et al (2020). </w:t>
      </w:r>
      <w:proofErr w:type="spellStart"/>
      <w:r>
        <w:rPr>
          <w:rFonts w:ascii="Times New Roman" w:hAnsi="Times New Roman" w:cs="Times New Roman"/>
          <w:sz w:val="24"/>
          <w:szCs w:val="24"/>
        </w:rPr>
        <w:t>Remdesivir</w:t>
      </w:r>
      <w:proofErr w:type="spellEnd"/>
      <w:r>
        <w:rPr>
          <w:rFonts w:ascii="Times New Roman" w:hAnsi="Times New Roman" w:cs="Times New Roman"/>
          <w:sz w:val="24"/>
          <w:szCs w:val="24"/>
        </w:rPr>
        <w:t xml:space="preserve"> in Patients with Acute or Chronic Kidney Disease and COVID-19. JASN, 31, 1384–1386. </w:t>
      </w:r>
      <w:hyperlink r:id="rId6" w:history="1">
        <w:r>
          <w:rPr>
            <w:rStyle w:val="Hyperlink"/>
            <w:rFonts w:ascii="Times New Roman" w:hAnsi="Times New Roman" w:cs="Times New Roman"/>
            <w:sz w:val="24"/>
            <w:szCs w:val="24"/>
          </w:rPr>
          <w:t>https://doi.org/10.1681/ASN.2020050589</w:t>
        </w:r>
      </w:hyperlink>
    </w:p>
    <w:p w:rsidR="00915861" w:rsidRDefault="00915861" w:rsidP="00915861">
      <w:pPr>
        <w:pStyle w:val="ListParagraph"/>
        <w:numPr>
          <w:ilvl w:val="0"/>
          <w:numId w:val="1"/>
        </w:numPr>
        <w:tabs>
          <w:tab w:val="left" w:pos="384"/>
        </w:tabs>
        <w:spacing w:line="240" w:lineRule="auto"/>
        <w:ind w:right="117"/>
        <w:rPr>
          <w:rFonts w:ascii="Times New Roman" w:hAnsi="Times New Roman" w:cs="Times New Roman"/>
          <w:sz w:val="24"/>
          <w:szCs w:val="24"/>
        </w:rPr>
      </w:pPr>
      <w:r>
        <w:rPr>
          <w:rFonts w:ascii="Times New Roman" w:hAnsi="Times New Roman" w:cs="Times New Roman"/>
          <w:sz w:val="24"/>
          <w:szCs w:val="24"/>
        </w:rPr>
        <w:lastRenderedPageBreak/>
        <w:t xml:space="preserve">Eastman, R. T., Roth, J. S., </w:t>
      </w:r>
      <w:proofErr w:type="spellStart"/>
      <w:r>
        <w:rPr>
          <w:rFonts w:ascii="Times New Roman" w:hAnsi="Times New Roman" w:cs="Times New Roman"/>
          <w:sz w:val="24"/>
          <w:szCs w:val="24"/>
        </w:rPr>
        <w:t>Bricombe</w:t>
      </w:r>
      <w:proofErr w:type="spellEnd"/>
      <w:r>
        <w:rPr>
          <w:rFonts w:ascii="Times New Roman" w:hAnsi="Times New Roman" w:cs="Times New Roman"/>
          <w:sz w:val="24"/>
          <w:szCs w:val="24"/>
        </w:rPr>
        <w:t xml:space="preserve">, K. R., </w:t>
      </w:r>
      <w:proofErr w:type="spellStart"/>
      <w:r>
        <w:rPr>
          <w:rFonts w:ascii="Times New Roman" w:hAnsi="Times New Roman" w:cs="Times New Roman"/>
          <w:sz w:val="24"/>
          <w:szCs w:val="24"/>
        </w:rPr>
        <w:t>Simeonov</w:t>
      </w:r>
      <w:proofErr w:type="spellEnd"/>
      <w:r>
        <w:rPr>
          <w:rFonts w:ascii="Times New Roman" w:hAnsi="Times New Roman" w:cs="Times New Roman"/>
          <w:sz w:val="24"/>
          <w:szCs w:val="24"/>
        </w:rPr>
        <w:t xml:space="preserve">, A., Shen, M., Patnaik, S., &amp;amp; Hall, M. D. (2020). </w:t>
      </w:r>
      <w:proofErr w:type="spellStart"/>
      <w:r>
        <w:rPr>
          <w:rFonts w:ascii="Times New Roman" w:hAnsi="Times New Roman" w:cs="Times New Roman"/>
          <w:sz w:val="24"/>
          <w:szCs w:val="24"/>
        </w:rPr>
        <w:t>Remdesivir</w:t>
      </w:r>
      <w:proofErr w:type="spellEnd"/>
      <w:r>
        <w:rPr>
          <w:rFonts w:ascii="Times New Roman" w:hAnsi="Times New Roman" w:cs="Times New Roman"/>
          <w:sz w:val="24"/>
          <w:szCs w:val="24"/>
        </w:rPr>
        <w:t xml:space="preserve">: A Review of Its Discovery and Development Leading to Emergency Use Authorization for Treatment of COVID-19. ACS Central Science, 6, 672–683. </w:t>
      </w:r>
      <w:hyperlink r:id="rId7" w:history="1">
        <w:r>
          <w:rPr>
            <w:rStyle w:val="Hyperlink"/>
            <w:rFonts w:ascii="Times New Roman" w:hAnsi="Times New Roman" w:cs="Times New Roman"/>
            <w:sz w:val="24"/>
            <w:szCs w:val="24"/>
          </w:rPr>
          <w:t>https://doi.org/10.1021/acscentsci.0c00489</w:t>
        </w:r>
      </w:hyperlink>
    </w:p>
    <w:p w:rsidR="00915861" w:rsidRDefault="00915861" w:rsidP="00915861">
      <w:pPr>
        <w:pStyle w:val="ListParagraph"/>
        <w:numPr>
          <w:ilvl w:val="0"/>
          <w:numId w:val="1"/>
        </w:numPr>
        <w:tabs>
          <w:tab w:val="left" w:pos="384"/>
        </w:tabs>
        <w:spacing w:line="240" w:lineRule="auto"/>
        <w:ind w:right="117"/>
        <w:rPr>
          <w:rFonts w:ascii="Times New Roman" w:hAnsi="Times New Roman" w:cs="Times New Roman"/>
          <w:sz w:val="24"/>
          <w:szCs w:val="24"/>
        </w:rPr>
      </w:pPr>
      <w:proofErr w:type="spellStart"/>
      <w:r>
        <w:rPr>
          <w:rFonts w:ascii="Times New Roman" w:hAnsi="Times New Roman" w:cs="Times New Roman"/>
          <w:sz w:val="24"/>
          <w:szCs w:val="24"/>
        </w:rPr>
        <w:t>Gasparini</w:t>
      </w:r>
      <w:proofErr w:type="spellEnd"/>
      <w:r>
        <w:rPr>
          <w:rFonts w:ascii="Times New Roman" w:hAnsi="Times New Roman" w:cs="Times New Roman"/>
          <w:sz w:val="24"/>
          <w:szCs w:val="24"/>
        </w:rPr>
        <w:t xml:space="preserve">, M., Khan, S., Patel, J. M., Parekh, D., </w:t>
      </w:r>
      <w:proofErr w:type="spellStart"/>
      <w:r>
        <w:rPr>
          <w:rFonts w:ascii="Times New Roman" w:hAnsi="Times New Roman" w:cs="Times New Roman"/>
          <w:sz w:val="24"/>
          <w:szCs w:val="24"/>
        </w:rPr>
        <w:t>Bangash</w:t>
      </w:r>
      <w:proofErr w:type="spellEnd"/>
      <w:r>
        <w:rPr>
          <w:rFonts w:ascii="Times New Roman" w:hAnsi="Times New Roman" w:cs="Times New Roman"/>
          <w:sz w:val="24"/>
          <w:szCs w:val="24"/>
        </w:rPr>
        <w:t xml:space="preserve">, M. N., </w:t>
      </w:r>
      <w:proofErr w:type="spellStart"/>
      <w:r>
        <w:rPr>
          <w:rFonts w:ascii="Times New Roman" w:hAnsi="Times New Roman" w:cs="Times New Roman"/>
          <w:sz w:val="24"/>
          <w:szCs w:val="24"/>
        </w:rPr>
        <w:t>Stimple</w:t>
      </w:r>
      <w:proofErr w:type="spellEnd"/>
      <w:r>
        <w:rPr>
          <w:rFonts w:ascii="Times New Roman" w:hAnsi="Times New Roman" w:cs="Times New Roman"/>
          <w:sz w:val="24"/>
          <w:szCs w:val="24"/>
        </w:rPr>
        <w:t xml:space="preserve">, R., Shah, A., </w:t>
      </w:r>
      <w:proofErr w:type="spellStart"/>
      <w:r>
        <w:rPr>
          <w:rFonts w:ascii="Times New Roman" w:hAnsi="Times New Roman" w:cs="Times New Roman"/>
          <w:sz w:val="24"/>
          <w:szCs w:val="24"/>
        </w:rPr>
        <w:t>Baharlo</w:t>
      </w:r>
      <w:proofErr w:type="spellEnd"/>
      <w:r>
        <w:rPr>
          <w:rFonts w:ascii="Times New Roman" w:hAnsi="Times New Roman" w:cs="Times New Roman"/>
          <w:sz w:val="24"/>
          <w:szCs w:val="24"/>
        </w:rPr>
        <w:t xml:space="preserve">, B., &amp;amp; </w:t>
      </w:r>
      <w:proofErr w:type="spellStart"/>
      <w:r>
        <w:rPr>
          <w:rFonts w:ascii="Times New Roman" w:hAnsi="Times New Roman" w:cs="Times New Roman"/>
          <w:sz w:val="24"/>
          <w:szCs w:val="24"/>
        </w:rPr>
        <w:t>Soni</w:t>
      </w:r>
      <w:proofErr w:type="spellEnd"/>
      <w:r>
        <w:rPr>
          <w:rFonts w:ascii="Times New Roman" w:hAnsi="Times New Roman" w:cs="Times New Roman"/>
          <w:sz w:val="24"/>
          <w:szCs w:val="24"/>
        </w:rPr>
        <w:t xml:space="preserve">, S. (2020). Anaesthesia. Renal Impairment and Its Impact on Clinical Outcomes in Patients Who Are Critically Ill with COVID-19: A </w:t>
      </w:r>
      <w:proofErr w:type="spellStart"/>
      <w:r>
        <w:rPr>
          <w:rFonts w:ascii="Times New Roman" w:hAnsi="Times New Roman" w:cs="Times New Roman"/>
          <w:sz w:val="24"/>
          <w:szCs w:val="24"/>
        </w:rPr>
        <w:t>Multicentre</w:t>
      </w:r>
      <w:proofErr w:type="spellEnd"/>
      <w:r>
        <w:rPr>
          <w:rFonts w:ascii="Times New Roman" w:hAnsi="Times New Roman" w:cs="Times New Roman"/>
          <w:sz w:val="24"/>
          <w:szCs w:val="24"/>
        </w:rPr>
        <w:t xml:space="preserve"> Observational Study, 320–326. </w:t>
      </w:r>
      <w:hyperlink r:id="rId8" w:history="1">
        <w:r>
          <w:rPr>
            <w:rStyle w:val="Hyperlink"/>
            <w:rFonts w:ascii="Times New Roman" w:hAnsi="Times New Roman" w:cs="Times New Roman"/>
            <w:sz w:val="24"/>
            <w:szCs w:val="24"/>
          </w:rPr>
          <w:t>https://doi.org/10.1111/anae.15293</w:t>
        </w:r>
      </w:hyperlink>
    </w:p>
    <w:p w:rsidR="00915861" w:rsidRDefault="00915861" w:rsidP="00915861">
      <w:pPr>
        <w:pStyle w:val="ListParagraph"/>
        <w:numPr>
          <w:ilvl w:val="0"/>
          <w:numId w:val="1"/>
        </w:numPr>
        <w:tabs>
          <w:tab w:val="left" w:pos="384"/>
        </w:tabs>
        <w:spacing w:line="240" w:lineRule="auto"/>
        <w:ind w:right="117"/>
        <w:rPr>
          <w:rFonts w:ascii="Times New Roman" w:hAnsi="Times New Roman" w:cs="Times New Roman"/>
          <w:sz w:val="24"/>
          <w:szCs w:val="24"/>
        </w:rPr>
      </w:pPr>
      <w:r>
        <w:rPr>
          <w:rFonts w:ascii="Times New Roman" w:hAnsi="Times New Roman" w:cs="Times New Roman"/>
          <w:sz w:val="24"/>
          <w:szCs w:val="24"/>
        </w:rPr>
        <w:t xml:space="preserve">Gordon, C. J., </w:t>
      </w:r>
      <w:proofErr w:type="spellStart"/>
      <w:r>
        <w:rPr>
          <w:rFonts w:ascii="Times New Roman" w:hAnsi="Times New Roman" w:cs="Times New Roman"/>
          <w:sz w:val="24"/>
          <w:szCs w:val="24"/>
        </w:rPr>
        <w:t>Tchesnokov</w:t>
      </w:r>
      <w:proofErr w:type="spellEnd"/>
      <w:r>
        <w:rPr>
          <w:rFonts w:ascii="Times New Roman" w:hAnsi="Times New Roman" w:cs="Times New Roman"/>
          <w:sz w:val="24"/>
          <w:szCs w:val="24"/>
        </w:rPr>
        <w:t xml:space="preserve">, E. P., </w:t>
      </w:r>
      <w:proofErr w:type="spellStart"/>
      <w:r>
        <w:rPr>
          <w:rFonts w:ascii="Times New Roman" w:hAnsi="Times New Roman" w:cs="Times New Roman"/>
          <w:sz w:val="24"/>
          <w:szCs w:val="24"/>
        </w:rPr>
        <w:t>Woolner</w:t>
      </w:r>
      <w:proofErr w:type="spellEnd"/>
      <w:r>
        <w:rPr>
          <w:rFonts w:ascii="Times New Roman" w:hAnsi="Times New Roman" w:cs="Times New Roman"/>
          <w:sz w:val="24"/>
          <w:szCs w:val="24"/>
        </w:rPr>
        <w:t xml:space="preserve">, E., Perry, J., Feng, J. Y., Porter, D. P., &amp;amp; </w:t>
      </w:r>
      <w:proofErr w:type="spellStart"/>
      <w:r>
        <w:rPr>
          <w:rFonts w:ascii="Times New Roman" w:hAnsi="Times New Roman" w:cs="Times New Roman"/>
          <w:sz w:val="24"/>
          <w:szCs w:val="24"/>
        </w:rPr>
        <w:t>Gotte</w:t>
      </w:r>
      <w:proofErr w:type="spellEnd"/>
      <w:r>
        <w:rPr>
          <w:rFonts w:ascii="Times New Roman" w:hAnsi="Times New Roman" w:cs="Times New Roman"/>
          <w:sz w:val="24"/>
          <w:szCs w:val="24"/>
        </w:rPr>
        <w:t xml:space="preserve">, M. (2020). </w:t>
      </w:r>
      <w:proofErr w:type="spellStart"/>
      <w:r>
        <w:rPr>
          <w:rFonts w:ascii="Times New Roman" w:hAnsi="Times New Roman" w:cs="Times New Roman"/>
          <w:sz w:val="24"/>
          <w:szCs w:val="24"/>
        </w:rPr>
        <w:t>Remdesivir</w:t>
      </w:r>
      <w:proofErr w:type="spellEnd"/>
      <w:r>
        <w:rPr>
          <w:rFonts w:ascii="Times New Roman" w:hAnsi="Times New Roman" w:cs="Times New Roman"/>
          <w:sz w:val="24"/>
          <w:szCs w:val="24"/>
        </w:rPr>
        <w:t xml:space="preserve"> is a direct-acting antiviral that inhibits </w:t>
      </w:r>
      <w:proofErr w:type="spellStart"/>
      <w:r>
        <w:rPr>
          <w:rFonts w:ascii="Times New Roman" w:hAnsi="Times New Roman" w:cs="Times New Roman"/>
          <w:sz w:val="24"/>
          <w:szCs w:val="24"/>
        </w:rPr>
        <w:t>RNAdependent</w:t>
      </w:r>
      <w:proofErr w:type="spellEnd"/>
      <w:r>
        <w:rPr>
          <w:rFonts w:ascii="Times New Roman" w:hAnsi="Times New Roman" w:cs="Times New Roman"/>
          <w:sz w:val="24"/>
          <w:szCs w:val="24"/>
        </w:rPr>
        <w:t xml:space="preserve"> RNA polymerase from severe acute respiratory syndrome coronavirus 2 with high potency. J. Biol. Chem., 295(20), 6785–6797. </w:t>
      </w:r>
      <w:hyperlink r:id="rId9" w:history="1">
        <w:r>
          <w:rPr>
            <w:rStyle w:val="Hyperlink"/>
            <w:rFonts w:ascii="Times New Roman" w:hAnsi="Times New Roman" w:cs="Times New Roman"/>
            <w:sz w:val="24"/>
            <w:szCs w:val="24"/>
          </w:rPr>
          <w:t>https://doi.org/10.1074/jbc.RA120.013679</w:t>
        </w:r>
      </w:hyperlink>
    </w:p>
    <w:p w:rsidR="00915861" w:rsidRDefault="00915861" w:rsidP="00915861">
      <w:pPr>
        <w:pStyle w:val="ListParagraph"/>
        <w:numPr>
          <w:ilvl w:val="0"/>
          <w:numId w:val="1"/>
        </w:numPr>
        <w:tabs>
          <w:tab w:val="left" w:pos="384"/>
        </w:tabs>
        <w:spacing w:line="240" w:lineRule="auto"/>
        <w:ind w:right="117"/>
        <w:rPr>
          <w:rFonts w:ascii="Times New Roman" w:hAnsi="Times New Roman" w:cs="Times New Roman"/>
          <w:sz w:val="24"/>
          <w:szCs w:val="24"/>
        </w:rPr>
      </w:pPr>
      <w:r>
        <w:rPr>
          <w:rFonts w:ascii="Times New Roman" w:hAnsi="Times New Roman" w:cs="Times New Roman"/>
          <w:sz w:val="24"/>
          <w:szCs w:val="24"/>
        </w:rPr>
        <w:t>Henry, B. M., &amp;amp; Lippi, G. (2020). Chronic kidney disease is associated with severe coronavirus disease 2019 (COVID</w:t>
      </w:r>
      <w:r>
        <w:rPr>
          <w:rFonts w:ascii="Times New Roman" w:hAnsi="Times New Roman" w:cs="Times New Roman"/>
          <w:sz w:val="24"/>
          <w:szCs w:val="24"/>
        </w:rPr>
        <w:noBreakHyphen/>
        <w:t xml:space="preserve">19) infection. International Urology and Nephrology, 52(1), 1193–1194. </w:t>
      </w:r>
      <w:hyperlink r:id="rId10" w:history="1">
        <w:r>
          <w:rPr>
            <w:rStyle w:val="Hyperlink"/>
            <w:rFonts w:ascii="Times New Roman" w:hAnsi="Times New Roman" w:cs="Times New Roman"/>
            <w:sz w:val="24"/>
            <w:szCs w:val="24"/>
          </w:rPr>
          <w:t>https://doi.org/10.1007/s11255-020-02451-9</w:t>
        </w:r>
      </w:hyperlink>
    </w:p>
    <w:p w:rsidR="00915861" w:rsidRDefault="00915861" w:rsidP="00915861">
      <w:pPr>
        <w:pStyle w:val="ListParagraph"/>
        <w:numPr>
          <w:ilvl w:val="0"/>
          <w:numId w:val="1"/>
        </w:numPr>
        <w:tabs>
          <w:tab w:val="left" w:pos="384"/>
        </w:tabs>
        <w:spacing w:line="240" w:lineRule="auto"/>
        <w:ind w:right="117"/>
        <w:rPr>
          <w:rFonts w:ascii="Times New Roman" w:hAnsi="Times New Roman" w:cs="Times New Roman"/>
          <w:sz w:val="24"/>
          <w:szCs w:val="24"/>
        </w:rPr>
      </w:pPr>
      <w:proofErr w:type="spellStart"/>
      <w:r>
        <w:rPr>
          <w:rFonts w:ascii="Times New Roman" w:hAnsi="Times New Roman" w:cs="Times New Roman"/>
          <w:sz w:val="24"/>
          <w:szCs w:val="24"/>
        </w:rPr>
        <w:t>Malin</w:t>
      </w:r>
      <w:proofErr w:type="spellEnd"/>
      <w:r>
        <w:rPr>
          <w:rFonts w:ascii="Times New Roman" w:hAnsi="Times New Roman" w:cs="Times New Roman"/>
          <w:sz w:val="24"/>
          <w:szCs w:val="24"/>
        </w:rPr>
        <w:t xml:space="preserve">, J. J., Suarez, I., </w:t>
      </w:r>
      <w:proofErr w:type="spellStart"/>
      <w:r>
        <w:rPr>
          <w:rFonts w:ascii="Times New Roman" w:hAnsi="Times New Roman" w:cs="Times New Roman"/>
          <w:sz w:val="24"/>
          <w:szCs w:val="24"/>
        </w:rPr>
        <w:t>Priesner</w:t>
      </w:r>
      <w:proofErr w:type="spellEnd"/>
      <w:r>
        <w:rPr>
          <w:rFonts w:ascii="Times New Roman" w:hAnsi="Times New Roman" w:cs="Times New Roman"/>
          <w:sz w:val="24"/>
          <w:szCs w:val="24"/>
        </w:rPr>
        <w:t xml:space="preserve">, V., </w:t>
      </w:r>
      <w:proofErr w:type="spellStart"/>
      <w:r>
        <w:rPr>
          <w:rFonts w:ascii="Times New Roman" w:hAnsi="Times New Roman" w:cs="Times New Roman"/>
          <w:sz w:val="24"/>
          <w:szCs w:val="24"/>
        </w:rPr>
        <w:t>Fatkenheuer</w:t>
      </w:r>
      <w:proofErr w:type="spellEnd"/>
      <w:r>
        <w:rPr>
          <w:rFonts w:ascii="Times New Roman" w:hAnsi="Times New Roman" w:cs="Times New Roman"/>
          <w:sz w:val="24"/>
          <w:szCs w:val="24"/>
        </w:rPr>
        <w:t xml:space="preserve">, G., &amp;amp; </w:t>
      </w:r>
      <w:proofErr w:type="spellStart"/>
      <w:r>
        <w:rPr>
          <w:rFonts w:ascii="Times New Roman" w:hAnsi="Times New Roman" w:cs="Times New Roman"/>
          <w:sz w:val="24"/>
          <w:szCs w:val="24"/>
        </w:rPr>
        <w:t>Rybniker</w:t>
      </w:r>
      <w:proofErr w:type="spellEnd"/>
      <w:r>
        <w:rPr>
          <w:rFonts w:ascii="Times New Roman" w:hAnsi="Times New Roman" w:cs="Times New Roman"/>
          <w:sz w:val="24"/>
          <w:szCs w:val="24"/>
        </w:rPr>
        <w:t xml:space="preserve">, J. (2020). </w:t>
      </w:r>
      <w:proofErr w:type="spellStart"/>
      <w:r>
        <w:rPr>
          <w:rFonts w:ascii="Times New Roman" w:hAnsi="Times New Roman" w:cs="Times New Roman"/>
          <w:sz w:val="24"/>
          <w:szCs w:val="24"/>
        </w:rPr>
        <w:t>Remdesivir</w:t>
      </w:r>
      <w:proofErr w:type="spellEnd"/>
      <w:r>
        <w:rPr>
          <w:rFonts w:ascii="Times New Roman" w:hAnsi="Times New Roman" w:cs="Times New Roman"/>
          <w:sz w:val="24"/>
          <w:szCs w:val="24"/>
        </w:rPr>
        <w:t xml:space="preserve"> against COVID-19 and Other Viral Diseases. Clinical Microbiology Reviews, 34(1). </w:t>
      </w:r>
      <w:hyperlink r:id="rId11" w:history="1">
        <w:r>
          <w:rPr>
            <w:rStyle w:val="Hyperlink"/>
            <w:rFonts w:ascii="Times New Roman" w:hAnsi="Times New Roman" w:cs="Times New Roman"/>
            <w:sz w:val="24"/>
            <w:szCs w:val="24"/>
          </w:rPr>
          <w:t>https://doi.org/10.1128/CMR.00162-20</w:t>
        </w:r>
      </w:hyperlink>
    </w:p>
    <w:p w:rsidR="00915861" w:rsidRDefault="00915861" w:rsidP="00915861">
      <w:pPr>
        <w:pStyle w:val="ListParagraph"/>
        <w:numPr>
          <w:ilvl w:val="0"/>
          <w:numId w:val="1"/>
        </w:numPr>
        <w:tabs>
          <w:tab w:val="left" w:pos="384"/>
        </w:tabs>
        <w:spacing w:line="240" w:lineRule="auto"/>
        <w:ind w:right="117"/>
        <w:rPr>
          <w:rFonts w:ascii="Times New Roman" w:hAnsi="Times New Roman" w:cs="Times New Roman"/>
          <w:sz w:val="24"/>
          <w:szCs w:val="24"/>
        </w:rPr>
      </w:pPr>
      <w:proofErr w:type="spellStart"/>
      <w:r>
        <w:rPr>
          <w:rFonts w:ascii="Times New Roman" w:hAnsi="Times New Roman" w:cs="Times New Roman"/>
          <w:sz w:val="24"/>
          <w:szCs w:val="24"/>
        </w:rPr>
        <w:t>Perna</w:t>
      </w:r>
      <w:proofErr w:type="spellEnd"/>
      <w:r>
        <w:rPr>
          <w:rFonts w:ascii="Times New Roman" w:hAnsi="Times New Roman" w:cs="Times New Roman"/>
          <w:sz w:val="24"/>
          <w:szCs w:val="24"/>
        </w:rPr>
        <w:t xml:space="preserve">, A. F., </w:t>
      </w:r>
      <w:proofErr w:type="spellStart"/>
      <w:r>
        <w:rPr>
          <w:rFonts w:ascii="Times New Roman" w:hAnsi="Times New Roman" w:cs="Times New Roman"/>
          <w:sz w:val="24"/>
          <w:szCs w:val="24"/>
        </w:rPr>
        <w:t>Capolongo</w:t>
      </w:r>
      <w:proofErr w:type="spellEnd"/>
      <w:r>
        <w:rPr>
          <w:rFonts w:ascii="Times New Roman" w:hAnsi="Times New Roman" w:cs="Times New Roman"/>
          <w:sz w:val="24"/>
          <w:szCs w:val="24"/>
        </w:rPr>
        <w:t xml:space="preserve">, G., </w:t>
      </w:r>
      <w:proofErr w:type="spellStart"/>
      <w:r>
        <w:rPr>
          <w:rFonts w:ascii="Times New Roman" w:hAnsi="Times New Roman" w:cs="Times New Roman"/>
          <w:sz w:val="24"/>
          <w:szCs w:val="24"/>
        </w:rPr>
        <w:t>Trepiccione</w:t>
      </w:r>
      <w:proofErr w:type="spellEnd"/>
      <w:r>
        <w:rPr>
          <w:rFonts w:ascii="Times New Roman" w:hAnsi="Times New Roman" w:cs="Times New Roman"/>
          <w:sz w:val="24"/>
          <w:szCs w:val="24"/>
        </w:rPr>
        <w:t xml:space="preserve">, F., </w:t>
      </w:r>
      <w:proofErr w:type="spellStart"/>
      <w:r>
        <w:rPr>
          <w:rFonts w:ascii="Times New Roman" w:hAnsi="Times New Roman" w:cs="Times New Roman"/>
          <w:sz w:val="24"/>
          <w:szCs w:val="24"/>
        </w:rPr>
        <w:t>Simeoni</w:t>
      </w:r>
      <w:proofErr w:type="spellEnd"/>
      <w:r>
        <w:rPr>
          <w:rFonts w:ascii="Times New Roman" w:hAnsi="Times New Roman" w:cs="Times New Roman"/>
          <w:sz w:val="24"/>
          <w:szCs w:val="24"/>
        </w:rPr>
        <w:t xml:space="preserve">, M., </w:t>
      </w:r>
      <w:proofErr w:type="spellStart"/>
      <w:r>
        <w:rPr>
          <w:rFonts w:ascii="Times New Roman" w:hAnsi="Times New Roman" w:cs="Times New Roman"/>
          <w:sz w:val="24"/>
          <w:szCs w:val="24"/>
        </w:rPr>
        <w:t>Zacchia</w:t>
      </w:r>
      <w:proofErr w:type="spellEnd"/>
      <w:r>
        <w:rPr>
          <w:rFonts w:ascii="Times New Roman" w:hAnsi="Times New Roman" w:cs="Times New Roman"/>
          <w:sz w:val="24"/>
          <w:szCs w:val="24"/>
        </w:rPr>
        <w:t xml:space="preserve">, M., &amp;amp; </w:t>
      </w:r>
      <w:proofErr w:type="spellStart"/>
      <w:r>
        <w:rPr>
          <w:rFonts w:ascii="Times New Roman" w:hAnsi="Times New Roman" w:cs="Times New Roman"/>
          <w:sz w:val="24"/>
          <w:szCs w:val="24"/>
        </w:rPr>
        <w:t>Ingrosso</w:t>
      </w:r>
      <w:proofErr w:type="spellEnd"/>
      <w:r>
        <w:rPr>
          <w:rFonts w:ascii="Times New Roman" w:hAnsi="Times New Roman" w:cs="Times New Roman"/>
          <w:sz w:val="24"/>
          <w:szCs w:val="24"/>
        </w:rPr>
        <w:t xml:space="preserve">, D. (2020). COVID-19, Low-Molecular-Weight Heparin, and Hemodialysis. Kidney Blood Pressure Research, 45(1), 357–362. </w:t>
      </w:r>
      <w:hyperlink r:id="rId12" w:history="1">
        <w:r>
          <w:rPr>
            <w:rStyle w:val="Hyperlink"/>
            <w:rFonts w:ascii="Times New Roman" w:hAnsi="Times New Roman" w:cs="Times New Roman"/>
            <w:sz w:val="24"/>
            <w:szCs w:val="24"/>
          </w:rPr>
          <w:t>https://doi.org/10.1159/000508460</w:t>
        </w:r>
      </w:hyperlink>
    </w:p>
    <w:p w:rsidR="00915861" w:rsidRPr="00915861" w:rsidRDefault="00915861" w:rsidP="00915861">
      <w:pPr>
        <w:pStyle w:val="ListParagraph"/>
        <w:widowControl/>
        <w:numPr>
          <w:ilvl w:val="0"/>
          <w:numId w:val="1"/>
        </w:numPr>
        <w:spacing w:line="240" w:lineRule="auto"/>
        <w:rPr>
          <w:rFonts w:ascii="Times New Roman" w:hAnsi="Times New Roman" w:cs="Times New Roman"/>
          <w:sz w:val="24"/>
          <w:szCs w:val="24"/>
        </w:rPr>
      </w:pPr>
      <w:r w:rsidRPr="00915861">
        <w:rPr>
          <w:rFonts w:ascii="Times New Roman" w:hAnsi="Times New Roman" w:cs="Times New Roman"/>
          <w:sz w:val="24"/>
          <w:szCs w:val="24"/>
        </w:rPr>
        <w:t xml:space="preserve">Wang, M., Cao, R., Zhang, L., Yang, X., Liu, J., Xu, M., Shi, Z., </w:t>
      </w:r>
      <w:proofErr w:type="spellStart"/>
      <w:r w:rsidRPr="00915861">
        <w:rPr>
          <w:rFonts w:ascii="Times New Roman" w:hAnsi="Times New Roman" w:cs="Times New Roman"/>
          <w:sz w:val="24"/>
          <w:szCs w:val="24"/>
        </w:rPr>
        <w:t>Zhong</w:t>
      </w:r>
      <w:proofErr w:type="spellEnd"/>
      <w:r w:rsidRPr="00915861">
        <w:rPr>
          <w:rFonts w:ascii="Times New Roman" w:hAnsi="Times New Roman" w:cs="Times New Roman"/>
          <w:sz w:val="24"/>
          <w:szCs w:val="24"/>
        </w:rPr>
        <w:t xml:space="preserve">, W., &amp;amp; Xiao, G. (2020). </w:t>
      </w:r>
      <w:proofErr w:type="spellStart"/>
      <w:r w:rsidRPr="00915861">
        <w:rPr>
          <w:rFonts w:ascii="Times New Roman" w:hAnsi="Times New Roman" w:cs="Times New Roman"/>
          <w:sz w:val="24"/>
          <w:szCs w:val="24"/>
        </w:rPr>
        <w:t>Remdesivir</w:t>
      </w:r>
      <w:proofErr w:type="spellEnd"/>
      <w:r w:rsidRPr="00915861">
        <w:rPr>
          <w:rFonts w:ascii="Times New Roman" w:hAnsi="Times New Roman" w:cs="Times New Roman"/>
          <w:sz w:val="24"/>
          <w:szCs w:val="24"/>
        </w:rPr>
        <w:t xml:space="preserve"> and chloroquine effectively inhibit the recently emerged novel coronavirus (2019-nCoV) in vitro. Cell Research, 269–271. </w:t>
      </w:r>
      <w:hyperlink r:id="rId13" w:history="1">
        <w:r w:rsidRPr="00915861">
          <w:rPr>
            <w:rStyle w:val="Hyperlink"/>
            <w:rFonts w:ascii="Times New Roman" w:hAnsi="Times New Roman" w:cs="Times New Roman"/>
            <w:sz w:val="24"/>
            <w:szCs w:val="24"/>
          </w:rPr>
          <w:t>https://doi.org/10.1038/s41422-020-0282-0</w:t>
        </w:r>
      </w:hyperlink>
    </w:p>
    <w:p w:rsidR="00915861" w:rsidRDefault="00915861" w:rsidP="00915861">
      <w:pPr>
        <w:widowControl/>
        <w:rPr>
          <w:rFonts w:ascii="Times New Roman" w:hAnsi="Times New Roman" w:cs="Times New Roman"/>
          <w:sz w:val="24"/>
          <w:szCs w:val="24"/>
        </w:rPr>
      </w:pPr>
    </w:p>
    <w:p w:rsidR="00915861" w:rsidRDefault="00915861" w:rsidP="00915861">
      <w:pPr>
        <w:spacing w:before="92"/>
        <w:ind w:right="4234"/>
        <w:rPr>
          <w:rFonts w:ascii="Times New Roman" w:hAnsi="Times New Roman" w:cs="Times New Roman"/>
          <w:b/>
          <w:sz w:val="24"/>
          <w:szCs w:val="24"/>
        </w:rPr>
      </w:pPr>
      <w:r>
        <w:rPr>
          <w:rFonts w:ascii="Times New Roman" w:hAnsi="Times New Roman" w:cs="Times New Roman"/>
          <w:b/>
          <w:sz w:val="24"/>
          <w:szCs w:val="24"/>
        </w:rPr>
        <w:t>Biography</w:t>
      </w:r>
      <w:r>
        <w:rPr>
          <w:rFonts w:ascii="Times New Roman" w:hAnsi="Times New Roman" w:cs="Times New Roman"/>
          <w:b/>
          <w:sz w:val="24"/>
          <w:szCs w:val="24"/>
        </w:rPr>
        <w:br/>
      </w:r>
    </w:p>
    <w:p w:rsidR="00915861" w:rsidRDefault="00915861" w:rsidP="00915861">
      <w:pPr>
        <w:jc w:val="both"/>
        <w:rPr>
          <w:rFonts w:ascii="Times New Roman" w:hAnsi="Times New Roman" w:cs="Times New Roman"/>
          <w:sz w:val="24"/>
          <w:szCs w:val="24"/>
        </w:rPr>
      </w:pPr>
      <w:r>
        <w:rPr>
          <w:rFonts w:ascii="Times New Roman" w:hAnsi="Times New Roman" w:cs="Times New Roman"/>
          <w:sz w:val="24"/>
          <w:szCs w:val="24"/>
        </w:rPr>
        <w:t xml:space="preserve">Dr. Crystal Faye G. </w:t>
      </w:r>
      <w:proofErr w:type="spellStart"/>
      <w:r>
        <w:rPr>
          <w:rFonts w:ascii="Times New Roman" w:hAnsi="Times New Roman" w:cs="Times New Roman"/>
          <w:sz w:val="24"/>
          <w:szCs w:val="24"/>
        </w:rPr>
        <w:t>Lagura</w:t>
      </w:r>
      <w:proofErr w:type="spellEnd"/>
      <w:r>
        <w:rPr>
          <w:rFonts w:ascii="Times New Roman" w:hAnsi="Times New Roman" w:cs="Times New Roman"/>
          <w:sz w:val="24"/>
          <w:szCs w:val="24"/>
        </w:rPr>
        <w:t xml:space="preserve"> is an Internist - nephrologist who graduated from Southern Philippines Medical Center in the year 2022. She is practicing adult disease specialist since 2018 and currently a practicing nephrologist in her hometown of Don Carlos and nearby municipalities in the province of </w:t>
      </w:r>
      <w:proofErr w:type="spellStart"/>
      <w:r>
        <w:rPr>
          <w:rFonts w:ascii="Times New Roman" w:hAnsi="Times New Roman" w:cs="Times New Roman"/>
          <w:sz w:val="24"/>
          <w:szCs w:val="24"/>
        </w:rPr>
        <w:t>Bukidnon</w:t>
      </w:r>
      <w:proofErr w:type="spellEnd"/>
      <w:r>
        <w:rPr>
          <w:rFonts w:ascii="Times New Roman" w:hAnsi="Times New Roman" w:cs="Times New Roman"/>
          <w:sz w:val="24"/>
          <w:szCs w:val="24"/>
        </w:rPr>
        <w:t>, as a student, she graduated with honors and always embody excellence in her clinical practice.  A kindhearted individual that includes serving the least fortunate and a well-rounded clinician that utilizes available resources in the community she also has interest in pursuing further training in critical care, interventional and transplant nephrology.</w:t>
      </w:r>
    </w:p>
    <w:p w:rsidR="008C7F17" w:rsidRDefault="008C7F17"/>
    <w:sectPr w:rsidR="008C7F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B588E"/>
    <w:multiLevelType w:val="hybridMultilevel"/>
    <w:tmpl w:val="FCA633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74D"/>
    <w:rsid w:val="00186453"/>
    <w:rsid w:val="008C7F17"/>
    <w:rsid w:val="00915861"/>
    <w:rsid w:val="00A12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15861"/>
    <w:pPr>
      <w:widowControl w:val="0"/>
      <w:spacing w:after="0" w:line="240" w:lineRule="auto"/>
    </w:pPr>
    <w:rPr>
      <w:rFonts w:ascii="Tw Cen MT" w:eastAsia="Tw Cen MT" w:hAnsi="Tw Cen MT" w:cs="Tw Cen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15861"/>
    <w:rPr>
      <w:color w:val="0000FF" w:themeColor="hyperlink"/>
      <w:u w:val="single"/>
    </w:rPr>
  </w:style>
  <w:style w:type="paragraph" w:styleId="NoSpacing">
    <w:name w:val="No Spacing"/>
    <w:uiPriority w:val="1"/>
    <w:qFormat/>
    <w:rsid w:val="00915861"/>
    <w:pPr>
      <w:spacing w:after="0" w:line="240" w:lineRule="auto"/>
    </w:pPr>
    <w:rPr>
      <w:rFonts w:ascii="Calibri" w:eastAsia="Calibri" w:hAnsi="Calibri" w:cs="Times New Roman"/>
      <w:lang w:val="en-GB"/>
    </w:rPr>
  </w:style>
  <w:style w:type="paragraph" w:styleId="ListParagraph">
    <w:name w:val="List Paragraph"/>
    <w:basedOn w:val="Normal"/>
    <w:uiPriority w:val="1"/>
    <w:qFormat/>
    <w:rsid w:val="00915861"/>
    <w:pPr>
      <w:spacing w:before="90" w:line="200" w:lineRule="exact"/>
      <w:ind w:left="383" w:hanging="283"/>
      <w:jc w:val="both"/>
    </w:pPr>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15861"/>
    <w:pPr>
      <w:widowControl w:val="0"/>
      <w:spacing w:after="0" w:line="240" w:lineRule="auto"/>
    </w:pPr>
    <w:rPr>
      <w:rFonts w:ascii="Tw Cen MT" w:eastAsia="Tw Cen MT" w:hAnsi="Tw Cen MT" w:cs="Tw Cen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15861"/>
    <w:rPr>
      <w:color w:val="0000FF" w:themeColor="hyperlink"/>
      <w:u w:val="single"/>
    </w:rPr>
  </w:style>
  <w:style w:type="paragraph" w:styleId="NoSpacing">
    <w:name w:val="No Spacing"/>
    <w:uiPriority w:val="1"/>
    <w:qFormat/>
    <w:rsid w:val="00915861"/>
    <w:pPr>
      <w:spacing w:after="0" w:line="240" w:lineRule="auto"/>
    </w:pPr>
    <w:rPr>
      <w:rFonts w:ascii="Calibri" w:eastAsia="Calibri" w:hAnsi="Calibri" w:cs="Times New Roman"/>
      <w:lang w:val="en-GB"/>
    </w:rPr>
  </w:style>
  <w:style w:type="paragraph" w:styleId="ListParagraph">
    <w:name w:val="List Paragraph"/>
    <w:basedOn w:val="Normal"/>
    <w:uiPriority w:val="1"/>
    <w:qFormat/>
    <w:rsid w:val="00915861"/>
    <w:pPr>
      <w:spacing w:before="90" w:line="200" w:lineRule="exact"/>
      <w:ind w:left="383" w:hanging="283"/>
      <w:jc w:val="both"/>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2642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anae.15293" TargetMode="External"/><Relationship Id="rId13" Type="http://schemas.openxmlformats.org/officeDocument/2006/relationships/hyperlink" Target="https://doi.org/10.1038/s41422-020-0282-0" TargetMode="External"/><Relationship Id="rId3" Type="http://schemas.microsoft.com/office/2007/relationships/stylesWithEffects" Target="stylesWithEffects.xml"/><Relationship Id="rId7" Type="http://schemas.openxmlformats.org/officeDocument/2006/relationships/hyperlink" Target="https://doi.org/10.1021/acscentsci.0c00489" TargetMode="External"/><Relationship Id="rId12" Type="http://schemas.openxmlformats.org/officeDocument/2006/relationships/hyperlink" Target="https://doi.org/10.1159/00050846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681/ASN.2020050589" TargetMode="External"/><Relationship Id="rId11" Type="http://schemas.openxmlformats.org/officeDocument/2006/relationships/hyperlink" Target="https://doi.org/10.1128/CMR.00162-2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1007/s11255-020-02451-9" TargetMode="External"/><Relationship Id="rId4" Type="http://schemas.openxmlformats.org/officeDocument/2006/relationships/settings" Target="settings.xml"/><Relationship Id="rId9" Type="http://schemas.openxmlformats.org/officeDocument/2006/relationships/hyperlink" Target="https://doi.org/10.1074/jbc.RA120.013679"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816</Words>
  <Characters>4652</Characters>
  <Application>Microsoft Office Word</Application>
  <DocSecurity>0</DocSecurity>
  <Lines>38</Lines>
  <Paragraphs>10</Paragraphs>
  <ScaleCrop>false</ScaleCrop>
  <Company/>
  <LinksUpToDate>false</LinksUpToDate>
  <CharactersWithSpaces>5458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 World Chemistry 2021</dc:creator>
  <cp:keywords/>
  <dc:description/>
  <cp:lastModifiedBy>Conference World Chemistry 2021</cp:lastModifiedBy>
  <cp:revision>4</cp:revision>
  <dcterms:created xsi:type="dcterms:W3CDTF">2023-04-18T04:59:00Z</dcterms:created>
  <dcterms:modified xsi:type="dcterms:W3CDTF">2023-04-18T05:15:00Z</dcterms:modified>
</cp:coreProperties>
</file>