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92FA1" w:rsidP="000534A1">
      <w:pPr>
        <w:pStyle w:val="Heading1"/>
        <w:spacing w:before="170"/>
        <w:ind w:left="0"/>
        <w:jc w:val="both"/>
      </w:pPr>
      <w:r w:rsidRPr="00F92FA1">
        <w:rPr>
          <w:color w:val="337AB7"/>
        </w:rPr>
        <w:t xml:space="preserve">DESIGN AND DEVELOPMENT OF NOVEL </w:t>
      </w:r>
      <w:r w:rsidR="00321982" w:rsidRPr="00321982">
        <w:rPr>
          <w:caps/>
          <w:color w:val="337AB7"/>
        </w:rPr>
        <w:t>Apramycin</w:t>
      </w:r>
      <w:r w:rsidRPr="00F92FA1">
        <w:rPr>
          <w:color w:val="337AB7"/>
        </w:rPr>
        <w:t xml:space="preserve"> ANTIBIOTICS </w:t>
      </w:r>
    </w:p>
    <w:p w:rsidR="005973B9" w:rsidRDefault="00660A43" w:rsidP="005973B9">
      <w:pPr>
        <w:pStyle w:val="BodyText"/>
        <w:spacing w:before="73" w:line="198" w:lineRule="exact"/>
        <w:ind w:left="100" w:right="5987"/>
        <w:rPr>
          <w:rFonts w:ascii="Arial"/>
        </w:rPr>
      </w:pPr>
      <w:r>
        <w:rPr>
          <w:rFonts w:ascii="Arial"/>
        </w:rPr>
        <w:br/>
      </w:r>
      <w:r w:rsidR="00F92FA1">
        <w:rPr>
          <w:rFonts w:ascii="Arial"/>
        </w:rPr>
        <w:t xml:space="preserve">PhD </w:t>
      </w:r>
      <w:bookmarkStart w:id="0" w:name="_GoBack"/>
      <w:r w:rsidR="00F92FA1">
        <w:rPr>
          <w:rFonts w:ascii="Arial"/>
        </w:rPr>
        <w:t>Dmitrijs Lubriks</w:t>
      </w:r>
      <w:bookmarkEnd w:id="0"/>
      <w:r w:rsidR="005973B9">
        <w:rPr>
          <w:rFonts w:ascii="Arial"/>
        </w:rPr>
        <w:t xml:space="preserve">, </w:t>
      </w:r>
      <w:r w:rsidR="00F92FA1" w:rsidRPr="00F92FA1">
        <w:rPr>
          <w:rFonts w:ascii="Arial"/>
        </w:rPr>
        <w:t>ERDF (Post-Doc Latvia, project No.1.1.1.2/VIAA/3/19/586)</w:t>
      </w:r>
      <w:r w:rsidR="005973B9">
        <w:rPr>
          <w:rFonts w:ascii="Arial"/>
        </w:rPr>
        <w:t xml:space="preserve"> </w:t>
      </w:r>
      <w:r w:rsidR="00F92FA1">
        <w:rPr>
          <w:rFonts w:ascii="Arial"/>
        </w:rPr>
        <w:t>f</w:t>
      </w:r>
      <w:r w:rsidR="005973B9">
        <w:rPr>
          <w:rFonts w:ascii="Arial"/>
        </w:rPr>
        <w:t xml:space="preserve">oundation, </w:t>
      </w:r>
      <w:r w:rsidR="00F92FA1">
        <w:rPr>
          <w:rFonts w:ascii="Arial"/>
        </w:rPr>
        <w:t>Latvia</w:t>
      </w:r>
      <w:r w:rsidR="005973B9">
        <w:rPr>
          <w:rFonts w:ascii="Arial"/>
        </w:rPr>
        <w:t xml:space="preserve">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36429E" w:rsidRDefault="003C7A4C" w:rsidP="003C7A4C">
      <w:pPr>
        <w:pStyle w:val="BodyText"/>
        <w:spacing w:before="90" w:line="280" w:lineRule="auto"/>
        <w:ind w:left="100"/>
        <w:jc w:val="both"/>
      </w:pPr>
      <w:r>
        <w:t>Aminoglycosides (AGA) are broad spectrum clinically important antibacterials for human therapy, and have long been used as highly potent antibiotics against many Gram-negative and Gram-positive pathogens, as well</w:t>
      </w:r>
      <w:r w:rsidR="00A27369">
        <w:t xml:space="preserve"> </w:t>
      </w:r>
      <w:r>
        <w:t xml:space="preserve">against multi-drug-resistant pathogens. Unfortunately, their good antibacterial properties are overshadowed by the high risk of ototoxicity and nephrotoxicity. As well, AGAs suffer from severe resistance problems, because of their extreme use in the healthcare system. Many bacterial strains have become resistant to a number of drugs in this class through the evolution and action of AMEs. </w:t>
      </w:r>
    </w:p>
    <w:p w:rsidR="003C7A4C" w:rsidRDefault="003C7A4C" w:rsidP="003C7A4C">
      <w:pPr>
        <w:pStyle w:val="BodyText"/>
        <w:spacing w:before="90" w:line="280" w:lineRule="auto"/>
        <w:ind w:left="100"/>
        <w:jc w:val="both"/>
      </w:pPr>
      <w:r>
        <w:t xml:space="preserve">Apramycin was chosen as a basis for the development of new aminoglycoside antibiotics because of its unique </w:t>
      </w:r>
      <w:r w:rsidR="00A27369">
        <w:t>structure that</w:t>
      </w:r>
      <w:r>
        <w:t xml:space="preserve"> evades the clinically widespread mechanisms of aminoglycoside resistance that currently compromise the efficacy of other members in this drug class and unlike other aminoglycosides, apramycin has a reduced risk of ototoxicity. </w:t>
      </w:r>
      <w:r w:rsidR="00A27369">
        <w:t>I</w:t>
      </w:r>
      <w:r>
        <w:t>t was considered to be ideal substrate from which to develop new derivatives by modifying a certain locations of the molecule.</w:t>
      </w:r>
    </w:p>
    <w:p w:rsidR="00AE3E37" w:rsidRDefault="00A27369" w:rsidP="003C7A4C">
      <w:pPr>
        <w:pStyle w:val="BodyText"/>
        <w:spacing w:before="90" w:line="280" w:lineRule="auto"/>
        <w:ind w:left="100"/>
        <w:jc w:val="both"/>
      </w:pPr>
      <w:r w:rsidRPr="00A27369">
        <w:t xml:space="preserve">Herein we report </w:t>
      </w:r>
      <w:r>
        <w:t>t</w:t>
      </w:r>
      <w:r w:rsidR="003C7A4C">
        <w:t>he synthesis and antiribosomal and antibacterial activity of novel apralog</w:t>
      </w:r>
      <w:r w:rsidR="00BF1FDC">
        <w:t>s</w:t>
      </w:r>
      <w:r w:rsidR="003C7A4C">
        <w:t>,</w:t>
      </w:r>
      <w:r w:rsidR="002D5B1D">
        <w:t xml:space="preserve"> both anomers of 5-</w:t>
      </w:r>
      <w:r w:rsidR="002D5B1D" w:rsidRPr="002D5B1D">
        <w:rPr>
          <w:i/>
        </w:rPr>
        <w:t>O</w:t>
      </w:r>
      <w:r w:rsidR="002D5B1D">
        <w:t>-(5-amino-3-</w:t>
      </w:r>
      <w:r w:rsidR="002D5B1D" w:rsidRPr="002D5B1D">
        <w:t>amino</w:t>
      </w:r>
      <w:r w:rsidR="002D5B1D">
        <w:t>-</w:t>
      </w:r>
      <w:r w:rsidR="002D5B1D" w:rsidRPr="002D5B1D">
        <w:rPr>
          <w:i/>
        </w:rPr>
        <w:t>D</w:t>
      </w:r>
      <w:r w:rsidR="002D5B1D">
        <w:t xml:space="preserve">-ribofuranosyl) and </w:t>
      </w:r>
      <w:r w:rsidR="003C7A4C">
        <w:t>5-</w:t>
      </w:r>
      <w:r w:rsidR="003C7A4C" w:rsidRPr="002D5B1D">
        <w:rPr>
          <w:i/>
        </w:rPr>
        <w:t>O</w:t>
      </w:r>
      <w:r w:rsidR="003C7A4C">
        <w:t>-(5-amino-3-</w:t>
      </w:r>
      <w:r w:rsidR="002D5B1D" w:rsidRPr="002D5B1D">
        <w:rPr>
          <w:i/>
        </w:rPr>
        <w:t>N</w:t>
      </w:r>
      <w:r w:rsidR="003C7A4C">
        <w:t>-dimethylaminopropyl-</w:t>
      </w:r>
      <w:r w:rsidR="003C7A4C" w:rsidRPr="002D5B1D">
        <w:rPr>
          <w:i/>
        </w:rPr>
        <w:t>D</w:t>
      </w:r>
      <w:r w:rsidR="003C7A4C">
        <w:t>-ribofuranosyl)apramy</w:t>
      </w:r>
      <w:r>
        <w:t>cin</w:t>
      </w:r>
      <w:r w:rsidR="002D5B1D">
        <w:t>s</w:t>
      </w:r>
      <w:r w:rsidR="003C7A4C">
        <w:t xml:space="preserve">. </w:t>
      </w:r>
    </w:p>
    <w:p w:rsidR="005973B9" w:rsidRPr="00A007EF" w:rsidRDefault="00A9710C" w:rsidP="00A007EF">
      <w:pPr>
        <w:pStyle w:val="Heading3"/>
        <w:spacing w:before="74"/>
      </w:pPr>
      <w:r>
        <w:rPr>
          <w:b w:val="0"/>
        </w:rPr>
        <w:br w:type="column"/>
      </w:r>
      <w:r w:rsidR="005973B9" w:rsidRPr="00A007EF">
        <w:rPr>
          <w:color w:val="BF5A14"/>
        </w:rPr>
        <w:lastRenderedPageBreak/>
        <w:t xml:space="preserve">Recent Publications </w:t>
      </w:r>
    </w:p>
    <w:p w:rsidR="005973B9" w:rsidRPr="00A007EF" w:rsidRDefault="00AA0D74" w:rsidP="005973B9">
      <w:pPr>
        <w:pStyle w:val="ListParagraph"/>
        <w:numPr>
          <w:ilvl w:val="0"/>
          <w:numId w:val="3"/>
        </w:numPr>
        <w:tabs>
          <w:tab w:val="left" w:pos="384"/>
        </w:tabs>
        <w:spacing w:before="103" w:line="216" w:lineRule="exact"/>
        <w:ind w:right="138" w:hanging="283"/>
        <w:rPr>
          <w:sz w:val="16"/>
          <w:szCs w:val="16"/>
        </w:rPr>
      </w:pPr>
      <w:r w:rsidRPr="00A007EF">
        <w:rPr>
          <w:sz w:val="16"/>
          <w:szCs w:val="16"/>
        </w:rPr>
        <w:t>Lubriks, D.; Haldimann, K.; Hobbie, S. N.; Vasella, A.; Suna, E.; Crich, D. “Synthesis, Antibacterial and Antiribosomal Activity of the 3C-Aminoalkyl Modification in the Ribofuranosyl Ring of Apralogs (5-O-Ribofuranosyl Apramycins)” Antibiotics 2023, 12, 25–39. DOI: 10.3390/antibiotics12010025</w:t>
      </w:r>
      <w:r w:rsidR="00A007EF" w:rsidRPr="00A007EF">
        <w:rPr>
          <w:sz w:val="16"/>
          <w:szCs w:val="16"/>
        </w:rPr>
        <w:t>.</w:t>
      </w:r>
    </w:p>
    <w:p w:rsidR="005973B9" w:rsidRPr="00A007EF" w:rsidRDefault="00AA0D74" w:rsidP="005973B9">
      <w:pPr>
        <w:pStyle w:val="ListParagraph"/>
        <w:numPr>
          <w:ilvl w:val="0"/>
          <w:numId w:val="3"/>
        </w:numPr>
        <w:tabs>
          <w:tab w:val="left" w:pos="384"/>
        </w:tabs>
        <w:spacing w:line="216" w:lineRule="exact"/>
        <w:ind w:right="137" w:hanging="283"/>
        <w:rPr>
          <w:sz w:val="16"/>
          <w:szCs w:val="16"/>
        </w:rPr>
      </w:pPr>
      <w:r w:rsidRPr="00A007EF">
        <w:rPr>
          <w:sz w:val="16"/>
          <w:szCs w:val="16"/>
        </w:rPr>
        <w:t>Brem, J.; Panduwawala, T.; Hansen, J. U.; Hewitt, J.; Liepins, E.; Donets, P.; Espina, L.; Farley, A. J. M.; Shubin, K; Campillos, G. G.; Kiuru, P.; Shishodia, S.; Krahn, D.; Leśniak, R. K.; Schmidt (Adrian), J.; Calvopiña, K.; Turrientes, M. C.; Kavanagh, M. E.; Lubriks, D.; Hinchliffe, P.; Langley, G. W.; Aboklaish, A. F.; Eneroth, A.; Backlund, M.; Baran, A. G.; Nielsen, E. I.; Speake, M.; Kuka, J.; Robinson, J.; Grinberga, S.; Robinson, L.; McDonough, M. A.; Rydzik, A. M.; Leissing, T. M.; Jimenez-Castellanos, J. C.; Avison, M. B; Pinto, S. S.; Pannifer, A. D.; Martjuga, M.; Widlake, E.; Priede, M.; Navratilova, I. H.; Gniadkowski, M.; Belfrage, A. K.; Brandt, P.; Yli-Kauhaluoma, j.; Bacque, E.; Page, M. G. P.; Björkling, F.; Tyrrell, J. M.; Spencer, J.; Lang, P. A.; Baranczewski, P.; Cantón, R.; McElroy, S. P.; Jones, P. S.; Baquero, F.; Suna, E.; Morrison, A.; Walsh, T. R.; Schofield, C. J. “Imitation of β-lactam binding enables broad-spectrum metallo-β-lactamase inhibitors” Nat. Chem 2022, 14, 15–24. DOI: 10.1038/s41557-021-00831-x</w:t>
      </w:r>
      <w:r w:rsidR="00A007EF" w:rsidRPr="00A007EF">
        <w:rPr>
          <w:sz w:val="16"/>
          <w:szCs w:val="16"/>
        </w:rPr>
        <w:t>.</w:t>
      </w:r>
    </w:p>
    <w:p w:rsidR="005973B9" w:rsidRDefault="00AA0D74" w:rsidP="005973B9">
      <w:pPr>
        <w:pStyle w:val="ListParagraph"/>
        <w:numPr>
          <w:ilvl w:val="0"/>
          <w:numId w:val="3"/>
        </w:numPr>
        <w:tabs>
          <w:tab w:val="left" w:pos="384"/>
        </w:tabs>
        <w:spacing w:line="216" w:lineRule="exact"/>
        <w:ind w:right="138" w:hanging="283"/>
        <w:rPr>
          <w:sz w:val="16"/>
          <w:szCs w:val="16"/>
        </w:rPr>
      </w:pPr>
      <w:r w:rsidRPr="00A007EF">
        <w:rPr>
          <w:sz w:val="16"/>
          <w:szCs w:val="16"/>
        </w:rPr>
        <w:t>Lubriks, D.; Zogota, R.; Sarpe, V. A.; Matsushita, T.; Sati, G.C.; Haldimann, K.; Gysin, M.; Böttger, E.C.; Vasella, A.; Suna, E.; Hobbie, S.N.; Crich, D. “Synthesis and Antibacterial Activity of Propylamycin Derivatives Functionalized at the 5′′- and Other Positions with a View to Overcoming Resistance Due to Aminoglycoside Modifying Enzymes” ACS Infect. Dis. 2021, 7, 2413–2424 DOI: 10.1021/acsinfecdis.1c00158</w:t>
      </w:r>
      <w:r w:rsidR="00A007EF" w:rsidRPr="00A007EF">
        <w:rPr>
          <w:sz w:val="16"/>
          <w:szCs w:val="16"/>
        </w:rPr>
        <w:t>.</w:t>
      </w:r>
    </w:p>
    <w:p w:rsidR="00A007EF" w:rsidRPr="00A007EF" w:rsidRDefault="00A007EF" w:rsidP="00A007EF">
      <w:pPr>
        <w:pStyle w:val="ListParagraph"/>
        <w:numPr>
          <w:ilvl w:val="0"/>
          <w:numId w:val="3"/>
        </w:numPr>
        <w:tabs>
          <w:tab w:val="left" w:pos="384"/>
        </w:tabs>
        <w:spacing w:line="216" w:lineRule="exact"/>
        <w:ind w:right="138" w:hanging="283"/>
        <w:rPr>
          <w:sz w:val="16"/>
          <w:szCs w:val="16"/>
        </w:rPr>
      </w:pPr>
      <w:r w:rsidRPr="00A007EF">
        <w:rPr>
          <w:sz w:val="16"/>
          <w:szCs w:val="16"/>
        </w:rPr>
        <w:t>Dumont, E.; Vergalli, J.; Pajovic, J.; Bhamidimarri, S. P.; Morante, K.; Wang, J.; Lubriks, D.; Suna, E.; Stavenger, R. A.; Winterhalter, M.; Refregiers, M.; Pages, J. M. “Mechanistic aspects of maltotriose-conjugate</w:t>
      </w:r>
      <w:r>
        <w:rPr>
          <w:sz w:val="16"/>
          <w:szCs w:val="16"/>
        </w:rPr>
        <w:t xml:space="preserve"> </w:t>
      </w:r>
      <w:r w:rsidRPr="00A007EF">
        <w:rPr>
          <w:sz w:val="16"/>
          <w:szCs w:val="16"/>
        </w:rPr>
        <w:t>translocation to the Gram-negative bacteria cytoplasm” Life Science Alliance 2019, 2, e201800242. DOI: 10.26508/lsa.201800242</w:t>
      </w:r>
      <w:r>
        <w:rPr>
          <w:sz w:val="16"/>
          <w:szCs w:val="16"/>
        </w:rPr>
        <w:t>.</w:t>
      </w:r>
    </w:p>
    <w:p w:rsidR="00A007EF" w:rsidRPr="00A007EF" w:rsidRDefault="00A007EF" w:rsidP="00A007EF">
      <w:pPr>
        <w:tabs>
          <w:tab w:val="left" w:pos="384"/>
        </w:tabs>
        <w:spacing w:line="216" w:lineRule="exact"/>
        <w:ind w:left="100" w:right="138"/>
        <w:rPr>
          <w:sz w:val="16"/>
          <w:szCs w:val="16"/>
        </w:rPr>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660A4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7620" r="4445" b="5080"/>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N1o6W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f+sMAAADaAAAADwAAAGRycy9kb3ducmV2LnhtbESPQUsDMRSE74L/ITzBm00sUmTbtFRF&#10;qvTU2h56e2xeN0uTlzVJt+u/NwXB4zAz3zCzxeCd6CmmNrCGx5ECQVwH03KjYff1/vAMImVkgy4w&#10;afihBIv57c0MKxMuvKF+mxtRIJwq1GBz7iopU23JYxqFjrh4xxA95iJjI03ES4F7J8dKTaTHlsuC&#10;xY5eLdWn7dlrUJvviVVv7vPUv+T+sHLrp30btb6/G5ZTEJmG/B/+a38YDWO4Xik3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Pn/rDAAAA2gAAAA8AAAAAAAAAAAAA&#10;AAAAoQIAAGRycy9kb3ducmV2LnhtbFBLBQYAAAAABAAEAPkAAACRAwAAAAA=&#10;" strokecolor="#004080" strokeweight="2pt"/>
                <w10:anchorlock/>
              </v:group>
            </w:pict>
          </mc:Fallback>
        </mc:AlternateContent>
      </w:r>
    </w:p>
    <w:p w:rsidR="00AE3E37" w:rsidRDefault="00F92FA1" w:rsidP="00404E5B">
      <w:pPr>
        <w:spacing w:before="92"/>
        <w:ind w:right="4234"/>
        <w:rPr>
          <w:rFonts w:ascii="Arial"/>
        </w:rPr>
      </w:pPr>
      <w:r>
        <w:rPr>
          <w:rFonts w:ascii="Times New Roman" w:hAnsi="Times New Roman" w:cs="Times New Roman"/>
          <w:noProof/>
          <w:sz w:val="24"/>
          <w:szCs w:val="24"/>
          <w:lang w:val="en-IN" w:eastAsia="en-IN"/>
        </w:rPr>
        <w:drawing>
          <wp:anchor distT="0" distB="0" distL="114300" distR="114300" simplePos="0" relativeHeight="251661312" behindDoc="0" locked="0" layoutInCell="1" allowOverlap="1">
            <wp:simplePos x="0" y="0"/>
            <wp:positionH relativeFrom="column">
              <wp:posOffset>4965065</wp:posOffset>
            </wp:positionH>
            <wp:positionV relativeFrom="paragraph">
              <wp:posOffset>323215</wp:posOffset>
            </wp:positionV>
            <wp:extent cx="1699895" cy="306705"/>
            <wp:effectExtent l="19050" t="0" r="0" b="0"/>
            <wp:wrapSquare wrapText="bothSides"/>
            <wp:docPr id="3" name="Picture 1" descr="postdoc-log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doc-logo-00.png"/>
                    <pic:cNvPicPr/>
                  </pic:nvPicPr>
                  <pic:blipFill>
                    <a:blip r:embed="rId9" cstate="print"/>
                    <a:stretch>
                      <a:fillRect/>
                    </a:stretch>
                  </pic:blipFill>
                  <pic:spPr>
                    <a:xfrm>
                      <a:off x="0" y="0"/>
                      <a:ext cx="1699895" cy="306705"/>
                    </a:xfrm>
                    <a:prstGeom prst="rect">
                      <a:avLst/>
                    </a:prstGeom>
                  </pic:spPr>
                </pic:pic>
              </a:graphicData>
            </a:graphic>
          </wp:anchor>
        </w:drawing>
      </w:r>
      <w:r w:rsidR="008756E6">
        <w:rPr>
          <w:noProof/>
        </w:rPr>
        <w:t xml:space="preserve">              </w:t>
      </w:r>
      <w:r>
        <w:rPr>
          <w:rFonts w:ascii="Arial"/>
          <w:noProof/>
          <w:color w:val="BF5A14"/>
          <w:lang w:val="en-IN" w:eastAsia="en-IN"/>
        </w:rPr>
        <w:drawing>
          <wp:inline distT="0" distB="0" distL="0" distR="0">
            <wp:extent cx="784031" cy="868035"/>
            <wp:effectExtent l="19050" t="0" r="0" b="0"/>
            <wp:docPr id="4" name="Picture 3" descr="canv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vas.png"/>
                    <pic:cNvPicPr/>
                  </pic:nvPicPr>
                  <pic:blipFill>
                    <a:blip r:embed="rId10" cstate="print"/>
                    <a:stretch>
                      <a:fillRect/>
                    </a:stretch>
                  </pic:blipFill>
                  <pic:spPr>
                    <a:xfrm>
                      <a:off x="0" y="0"/>
                      <a:ext cx="785489" cy="86965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Default="00F92FA1">
      <w:pPr>
        <w:spacing w:before="41" w:line="154" w:lineRule="exact"/>
        <w:ind w:left="213" w:right="231"/>
        <w:jc w:val="both"/>
        <w:rPr>
          <w:rFonts w:ascii="Arial"/>
          <w:sz w:val="14"/>
        </w:rPr>
      </w:pPr>
      <w:r w:rsidRPr="00F92FA1">
        <w:rPr>
          <w:rFonts w:ascii="Arial"/>
          <w:sz w:val="14"/>
        </w:rPr>
        <w:t>D. Lubriks has completed his PhD at the age of 32 years from Riga Technical University. He is the Principial Scientist at Latvian Institute of Organic Chemistry. He has published 7 papers in reputed journals.</w:t>
      </w:r>
    </w:p>
    <w:p w:rsidR="00AE3E37" w:rsidRDefault="00A9710C">
      <w:pPr>
        <w:spacing w:before="62"/>
        <w:ind w:left="4217" w:right="4235"/>
        <w:jc w:val="center"/>
        <w:rPr>
          <w:rFonts w:ascii="Arial"/>
          <w:sz w:val="14"/>
        </w:rPr>
      </w:pPr>
      <w:r>
        <w:rPr>
          <w:rFonts w:ascii="Arial"/>
          <w:sz w:val="14"/>
        </w:rPr>
        <w:t xml:space="preserve">Email: </w:t>
      </w:r>
      <w:r w:rsidR="00F92FA1" w:rsidRPr="00F92FA1">
        <w:rPr>
          <w:rFonts w:ascii="Arial"/>
          <w:sz w:val="14"/>
        </w:rPr>
        <w:t>dmitrich</w:t>
      </w:r>
      <w:r w:rsidR="008756E6" w:rsidRPr="00F92FA1">
        <w:rPr>
          <w:rFonts w:ascii="Arial"/>
          <w:sz w:val="14"/>
        </w:rPr>
        <w:t>@</w:t>
      </w:r>
      <w:r w:rsidR="00F92FA1" w:rsidRPr="00F92FA1">
        <w:rPr>
          <w:rFonts w:ascii="Arial"/>
          <w:sz w:val="14"/>
        </w:rPr>
        <w:t>osi</w:t>
      </w:r>
      <w:r w:rsidR="008756E6" w:rsidRPr="00F92FA1">
        <w:rPr>
          <w:rFonts w:ascii="Arial"/>
          <w:sz w:val="14"/>
        </w:rPr>
        <w:t>.</w:t>
      </w:r>
      <w:r w:rsidR="00F92FA1">
        <w:rPr>
          <w:rFonts w:ascii="Arial"/>
          <w:sz w:val="14"/>
        </w:rPr>
        <w:t>lv</w:t>
      </w:r>
    </w:p>
    <w:p w:rsidR="00AE3E37" w:rsidRDefault="00660A43">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F92FA1">
        <w:rPr>
          <w:sz w:val="20"/>
          <w:szCs w:val="20"/>
          <w:lang w:val="en-NZ"/>
        </w:rPr>
        <w:t>Dmitrijs lubriks</w:t>
      </w:r>
      <w:r w:rsidRPr="00F35A62">
        <w:rPr>
          <w:sz w:val="20"/>
          <w:szCs w:val="20"/>
          <w:lang w:val="en-NZ"/>
        </w:rPr>
        <w:br/>
        <w:t>Contact number:</w:t>
      </w:r>
      <w:r w:rsidR="00F92FA1">
        <w:rPr>
          <w:sz w:val="20"/>
          <w:szCs w:val="20"/>
          <w:lang w:val="en-NZ"/>
        </w:rPr>
        <w:t xml:space="preserve"> +37125991860</w:t>
      </w:r>
      <w:r w:rsidRPr="00F35A62">
        <w:rPr>
          <w:sz w:val="20"/>
          <w:szCs w:val="20"/>
          <w:lang w:val="en-NZ"/>
        </w:rPr>
        <w:br/>
        <w:t>Linked In account:</w:t>
      </w:r>
      <w:r w:rsidR="00AA0D74">
        <w:rPr>
          <w:sz w:val="20"/>
          <w:szCs w:val="20"/>
          <w:lang w:val="en-NZ"/>
        </w:rPr>
        <w:t xml:space="preserve"> </w:t>
      </w:r>
      <w:r w:rsidR="00AA0D74" w:rsidRPr="00AA0D74">
        <w:rPr>
          <w:sz w:val="20"/>
          <w:szCs w:val="20"/>
          <w:lang w:val="en-NZ"/>
        </w:rPr>
        <w:t>https://www.linkedin.com/in/dmitrijs-lubriks-b0920532/</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Category: </w:t>
      </w:r>
      <w:r w:rsidR="00A007EF" w:rsidRPr="00A007EF">
        <w:rPr>
          <w:sz w:val="20"/>
          <w:szCs w:val="20"/>
          <w:u w:val="single"/>
          <w:lang w:val="en-NZ"/>
        </w:rPr>
        <w:t>E-</w:t>
      </w:r>
      <w:r w:rsidRPr="00A007EF">
        <w:rPr>
          <w:sz w:val="20"/>
          <w:szCs w:val="20"/>
          <w:u w:val="single"/>
          <w:lang w:val="en-NZ"/>
        </w:rPr>
        <w:t>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3A8" w:rsidRDefault="000723A8">
      <w:r>
        <w:separator/>
      </w:r>
    </w:p>
  </w:endnote>
  <w:endnote w:type="continuationSeparator" w:id="0">
    <w:p w:rsidR="000723A8" w:rsidRDefault="00072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D74" w:rsidRDefault="00660A4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0D74" w:rsidRPr="005B3A56" w:rsidRDefault="00AA0D7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A0D74" w:rsidRPr="005B3A56" w:rsidRDefault="00AA0D7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A0D74" w:rsidRPr="005B3A56" w:rsidRDefault="00AA0D7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A0D74" w:rsidRPr="005B3A56" w:rsidRDefault="00AA0D7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0D74" w:rsidRPr="005B3A56" w:rsidRDefault="00AA0D7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A0D74" w:rsidRPr="005B3A56" w:rsidRDefault="00AA0D7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A0D74" w:rsidRPr="005B3A56" w:rsidRDefault="00AA0D7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A0D74" w:rsidRPr="005B3A56" w:rsidRDefault="00AA0D7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0D74" w:rsidRPr="005B3A56" w:rsidRDefault="00AA0D7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A0D74" w:rsidRPr="005B3A56" w:rsidRDefault="00AA0D7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A0D74" w:rsidRPr="005B3A56" w:rsidRDefault="00AA0D7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A0D74" w:rsidRPr="005B3A56" w:rsidRDefault="00AA0D7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3A8" w:rsidRDefault="000723A8">
      <w:r>
        <w:separator/>
      </w:r>
    </w:p>
  </w:footnote>
  <w:footnote w:type="continuationSeparator" w:id="0">
    <w:p w:rsidR="000723A8" w:rsidRDefault="000723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723A8"/>
    <w:rsid w:val="000B4CAA"/>
    <w:rsid w:val="000E2911"/>
    <w:rsid w:val="001263DF"/>
    <w:rsid w:val="0025391A"/>
    <w:rsid w:val="00292ED9"/>
    <w:rsid w:val="002D5B1D"/>
    <w:rsid w:val="00321982"/>
    <w:rsid w:val="00351D9B"/>
    <w:rsid w:val="0036429E"/>
    <w:rsid w:val="00380299"/>
    <w:rsid w:val="003C7A4C"/>
    <w:rsid w:val="00404E5B"/>
    <w:rsid w:val="00414F7B"/>
    <w:rsid w:val="004355DC"/>
    <w:rsid w:val="004749B4"/>
    <w:rsid w:val="00475D20"/>
    <w:rsid w:val="00494130"/>
    <w:rsid w:val="004F3523"/>
    <w:rsid w:val="00590D60"/>
    <w:rsid w:val="005973B9"/>
    <w:rsid w:val="005B3A56"/>
    <w:rsid w:val="006060CE"/>
    <w:rsid w:val="0061505C"/>
    <w:rsid w:val="0063497F"/>
    <w:rsid w:val="00660A43"/>
    <w:rsid w:val="00714354"/>
    <w:rsid w:val="00873DF0"/>
    <w:rsid w:val="008756E6"/>
    <w:rsid w:val="00897EC5"/>
    <w:rsid w:val="008A0763"/>
    <w:rsid w:val="008E5477"/>
    <w:rsid w:val="00952C98"/>
    <w:rsid w:val="009B2D44"/>
    <w:rsid w:val="00A007EF"/>
    <w:rsid w:val="00A07E82"/>
    <w:rsid w:val="00A27369"/>
    <w:rsid w:val="00A42924"/>
    <w:rsid w:val="00A52075"/>
    <w:rsid w:val="00A9710C"/>
    <w:rsid w:val="00AA0D74"/>
    <w:rsid w:val="00AE3E37"/>
    <w:rsid w:val="00B21A57"/>
    <w:rsid w:val="00BE6743"/>
    <w:rsid w:val="00BF1FDC"/>
    <w:rsid w:val="00C33602"/>
    <w:rsid w:val="00C56C74"/>
    <w:rsid w:val="00CD6F55"/>
    <w:rsid w:val="00DE3104"/>
    <w:rsid w:val="00DE6170"/>
    <w:rsid w:val="00DF7445"/>
    <w:rsid w:val="00E30AAC"/>
    <w:rsid w:val="00E95D97"/>
    <w:rsid w:val="00EA7D51"/>
    <w:rsid w:val="00F046EA"/>
    <w:rsid w:val="00F312EA"/>
    <w:rsid w:val="00F35A62"/>
    <w:rsid w:val="00F72EEA"/>
    <w:rsid w:val="00F84CAE"/>
    <w:rsid w:val="00F92FA1"/>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2</cp:revision>
  <dcterms:created xsi:type="dcterms:W3CDTF">2023-04-13T11:02:00Z</dcterms:created>
  <dcterms:modified xsi:type="dcterms:W3CDTF">2023-04-13T11:02:00Z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