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70" w:after="0"/>
        <w:ind w:left="0" w:hanging="0"/>
        <w:jc w:val="both"/>
        <w:rPr>
          <w:rFonts w:ascii="Arial;Helvetica;sans-serif" w:hAnsi="Arial;Helvetica;sans-serif"/>
          <w:b/>
          <w:b/>
          <w:bCs/>
          <w:i w:val="false"/>
          <w:caps w:val="false"/>
          <w:smallCaps w:val="false"/>
          <w:color w:val="222222"/>
          <w:spacing w:val="0"/>
          <w:sz w:val="24"/>
        </w:rPr>
      </w:pPr>
      <w:r>
        <w:rPr>
          <w:rFonts w:ascii="Arial;Helvetica;sans-serif" w:hAnsi="Arial;Helvetica;sans-serif"/>
          <w:b/>
          <w:bCs/>
          <w:i w:val="false"/>
          <w:caps w:val="false"/>
          <w:smallCaps w:val="false"/>
          <w:color w:val="337AB7"/>
          <w:spacing w:val="0"/>
          <w:sz w:val="24"/>
        </w:rPr>
        <w:t xml:space="preserve">Breaking the Mold: How Peer Coaching Empowers ADHD Physicians to Thrive </w:t>
      </w:r>
      <w:r>
        <w:rPr>
          <w:rFonts w:ascii="Arial;Helvetica;sans-serif" w:hAnsi="Arial;Helvetica;sans-serif"/>
          <w:b/>
          <w:bCs/>
          <w:i w:val="false"/>
          <w:caps w:val="false"/>
          <w:smallCaps w:val="false"/>
          <w:color w:val="337AB7"/>
          <w:spacing w:val="0"/>
          <w:sz w:val="24"/>
        </w:rPr>
        <w:t>in Medicine</w:t>
      </w:r>
    </w:p>
    <w:p>
      <w:pPr>
        <w:pStyle w:val="TextBody"/>
        <w:widowControl w:val="false"/>
        <w:bidi w:val="0"/>
        <w:spacing w:lineRule="exact" w:line="198" w:before="73" w:after="0"/>
        <w:ind w:left="89" w:right="4140" w:hanging="0"/>
        <w:jc w:val="left"/>
        <w:rPr>
          <w:rFonts w:ascii="Arial" w:hAnsi="Arial"/>
        </w:rPr>
      </w:pPr>
      <w:r>
        <w:rPr>
          <w:rFonts w:ascii="Arial" w:hAnsi="Arial"/>
        </w:rPr>
        <w:t>D</w:t>
      </w:r>
      <w:r>
        <w:rPr>
          <w:rFonts w:ascii="Arial" w:hAnsi="Arial"/>
        </w:rPr>
        <w:t>iana Mercado-Marmarosh, MD, ADHD-Certified Clinical Service Provider, Certified Life Coach</w:t>
      </w:r>
      <w:r>
        <w:rPr>
          <w:rFonts w:ascii="Arial" w:hAnsi="Arial"/>
        </w:rPr>
        <w:t>, USA</w:t>
      </w:r>
    </w:p>
    <w:p>
      <w:pPr>
        <w:pStyle w:val="TextBody"/>
        <w:rPr>
          <w:rFonts w:ascii="Arial" w:hAnsi="Arial"/>
          <w:sz w:val="20"/>
        </w:rPr>
      </w:pPr>
      <w:r>
        <w:rPr>
          <w:rFonts w:ascii="Arial" w:hAnsi="Arial"/>
          <w:sz w:val="20"/>
        </w:rPr>
      </w:r>
    </w:p>
    <w:p>
      <w:pPr>
        <w:sectPr>
          <w:footerReference w:type="default" r:id="rId2"/>
          <w:type w:val="nextPage"/>
          <w:pgSz w:w="11906" w:h="16838"/>
          <w:pgMar w:left="620" w:right="600" w:header="0" w:top="995" w:footer="0" w:bottom="840" w:gutter="0"/>
          <w:pgNumType w:fmt="decimal"/>
          <w:formProt w:val="false"/>
          <w:textDirection w:val="lrTb"/>
          <w:docGrid w:type="default" w:linePitch="600" w:charSpace="36864"/>
        </w:sectPr>
      </w:pPr>
    </w:p>
    <w:p>
      <w:pPr>
        <w:pStyle w:val="Heading3"/>
        <w:spacing w:before="147" w:after="0"/>
        <w:jc w:val="both"/>
        <w:rPr>
          <w:rFonts w:ascii="Arial" w:hAnsi="Arial"/>
          <w:sz w:val="21"/>
        </w:rPr>
      </w:pPr>
      <w:r>
        <w:rPr>
          <w:color w:val="BF5A14"/>
        </w:rPr>
        <w:t xml:space="preserve">Abstract </w:t>
      </w:r>
    </w:p>
    <w:p>
      <w:pPr>
        <w:pStyle w:val="TextBody"/>
        <w:spacing w:lineRule="auto" w:line="278" w:before="90" w:after="0"/>
        <w:ind w:left="100" w:hanging="0"/>
        <w:jc w:val="both"/>
        <w:rPr>
          <w:rFonts w:ascii="Arial" w:hAnsi="Arial"/>
          <w:sz w:val="21"/>
        </w:rPr>
      </w:pPr>
      <w:r>
        <w:rPr/>
        <w:t xml:space="preserve">Statement of the Problem: Attention Deficit Hyperactivity Disorder (ADHD) is a common neurological condition that affects many physicians, often resulting in significant challenges in their personal and professional lives. Peer ADHD coaching has </w:t>
      </w:r>
      <w:r>
        <w:rPr/>
        <w:t>emerged as a</w:t>
      </w:r>
      <w:r>
        <w:rPr/>
        <w:t xml:space="preserve"> promising intervention to help physicians manage their symptoms and improve their quality of life. </w:t>
      </w:r>
      <w:r>
        <w:rPr/>
        <w:t xml:space="preserve">Peer ADHD Coaching Cohorts were </w:t>
      </w:r>
      <w:r>
        <w:rPr/>
        <w:t xml:space="preserve">created to explore the intersection of ADHD and creativity with </w:t>
      </w:r>
      <w:r>
        <w:rPr/>
        <w:t xml:space="preserve">the </w:t>
      </w:r>
      <w:r>
        <w:rPr/>
        <w:t xml:space="preserve">physician’s quality of life. </w:t>
      </w:r>
      <w:r>
        <w:rPr>
          <w:rFonts w:ascii="S hne;ui-sans-serif;system-ui;apple-system;Segoe UI;Roboto;Ubuntu;Cantarell;Noto Sans;sans-serif;Helvetica Neue;Arial;Apple Color Emoji;Segoe UI Emoji;Segoe UI Symbol;Noto Color Emoji" w:hAnsi="S hne;ui-sans-serif;system-ui;apple-system;Segoe UI;Roboto;Ubuntu;Cantarell;Noto Sans;sans-serif;Helvetica Neue;Arial;Apple Color Emoji;Segoe UI Emoji;Segoe UI Symbol;Noto Color Emoji"/>
          <w:b w:val="false"/>
          <w:i w:val="false"/>
          <w:caps w:val="false"/>
          <w:smallCaps w:val="false"/>
          <w:color w:val="374151"/>
          <w:spacing w:val="0"/>
          <w:sz w:val="24"/>
        </w:rPr>
        <w:t xml:space="preserve"> </w:t>
      </w:r>
    </w:p>
    <w:p>
      <w:pPr>
        <w:pStyle w:val="TextBody"/>
        <w:spacing w:lineRule="auto" w:line="278" w:before="90" w:after="0"/>
        <w:ind w:left="100" w:hanging="0"/>
        <w:jc w:val="both"/>
        <w:rPr>
          <w:rFonts w:ascii="Arial" w:hAnsi="Arial"/>
          <w:sz w:val="21"/>
        </w:rPr>
      </w:pPr>
      <w:r>
        <w:rPr/>
        <w:t xml:space="preserve">In the past 2 years, ninety </w:t>
      </w:r>
      <w:r>
        <w:rPr/>
        <w:t xml:space="preserve">physicians </w:t>
      </w:r>
      <w:r>
        <w:rPr/>
        <w:t xml:space="preserve">have </w:t>
      </w:r>
      <w:r>
        <w:rPr/>
        <w:t xml:space="preserve">participated in peer ADHD coaching over ten cohorts and provided qualitative feedback on their experiences.  The findings suggest that peer ADHD coaching had a significant positive impact on the participants' quality of life, with improvements in their self-awareness, coping strategies, productivity, and overall well-being. Participants reported increased confidence in their ability to manage their ADHD symptoms, which translated into improved job performance and job satisfaction. </w:t>
      </w:r>
    </w:p>
    <w:p>
      <w:pPr>
        <w:pStyle w:val="TextBody"/>
        <w:spacing w:lineRule="auto" w:line="278" w:before="90" w:after="0"/>
        <w:ind w:left="100" w:hanging="0"/>
        <w:jc w:val="both"/>
        <w:rPr>
          <w:rFonts w:ascii="Arial" w:hAnsi="Arial"/>
          <w:sz w:val="21"/>
        </w:rPr>
      </w:pPr>
      <w:r>
        <w:rPr/>
        <w:t xml:space="preserve">Moreover, the study highlights the potential intersection of ADHD and creativity, with many participants reporting that their ADHD traits enhanced their creativity and problem-solving skills. The peer coaching provided a supportive and non-judgmental environment that allowed participants to explore their unique strengths and challenges, leading to increased self-acceptance and improved relationships with colleagues and family members. Despite the positive outcomes, some challenges associated with peer ADHD coaching </w:t>
      </w:r>
      <w:r>
        <w:rPr/>
        <w:t>were found</w:t>
      </w:r>
      <w:r>
        <w:rPr/>
        <w:t xml:space="preserve">. These include difficulties in maintaining long-term behavior change and concerns about stigma associated with ADHD. </w:t>
      </w:r>
      <w:r>
        <w:rPr/>
        <w:t>T</w:t>
      </w:r>
      <w:r>
        <w:rPr/>
        <w:t>hese cohorts</w:t>
      </w:r>
      <w:r>
        <w:rPr/>
        <w:t xml:space="preserve"> highlights the importance of interventions that address the unique needs of physicians with ADHD for the continued success and well-being of the medical profession. </w:t>
      </w:r>
    </w:p>
    <w:p>
      <w:pPr>
        <w:pStyle w:val="TextBody"/>
        <w:spacing w:lineRule="auto" w:line="278" w:before="90" w:after="0"/>
        <w:ind w:left="100" w:hanging="0"/>
        <w:jc w:val="both"/>
        <w:rPr>
          <w:rFonts w:ascii="Arial" w:hAnsi="Arial"/>
          <w:sz w:val="21"/>
        </w:rPr>
      </w:pPr>
      <w:r>
        <w:rPr/>
        <w:t xml:space="preserve">In conclusion, peer ADHD coaching is a promising intervention for physicians with ADHD, </w:t>
      </w:r>
      <w:r>
        <w:rPr/>
        <w:t xml:space="preserve">as it can  </w:t>
      </w:r>
      <w:r>
        <w:rPr/>
        <w:t xml:space="preserve">can lead to significant improvements in quality of life. The </w:t>
      </w:r>
      <w:r>
        <w:rPr/>
        <w:t>cohorts</w:t>
      </w:r>
      <w:r>
        <w:rPr/>
        <w:t xml:space="preserve"> underscores the importance of interventions that recognize and capitalize on the strengths of individuals with ADHD while addressing the challenges associated with the condition.</w:t>
      </w:r>
    </w:p>
    <w:p>
      <w:pPr>
        <w:pStyle w:val="Normal"/>
        <w:spacing w:lineRule="exact" w:line="204"/>
        <w:rPr>
          <w:rFonts w:ascii="Arial" w:hAnsi="Arial"/>
          <w:b/>
          <w:b/>
          <w:sz w:val="20"/>
        </w:rPr>
      </w:pPr>
      <w:r>
        <w:br w:type="column"/>
      </w:r>
      <w:r>
        <w:rPr>
          <w:rFonts w:ascii="Arial" w:hAnsi="Arial"/>
          <w:b/>
          <w:color w:val="BF5A14"/>
          <w:sz w:val="20"/>
        </w:rPr>
        <w:t xml:space="preserve">Recent Publications </w:t>
      </w:r>
    </w:p>
    <w:p>
      <w:pPr>
        <w:pStyle w:val="TextBody"/>
        <w:numPr>
          <w:ilvl w:val="0"/>
          <w:numId w:val="1"/>
        </w:numPr>
        <w:rPr>
          <w:rFonts w:ascii="Liberation Serif" w:hAnsi="Liberation Serif"/>
          <w:b w:val="false"/>
          <w:b w:val="false"/>
          <w:bCs w:val="false"/>
          <w:color w:val="000000"/>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Mammoliti M, et al. Understanding </w:t>
      </w:r>
      <w:r>
        <w:rPr>
          <w:rFonts w:ascii="Liberation Serif" w:hAnsi="Liberation Serif"/>
          <w:b w:val="false"/>
          <w:bCs w:val="false"/>
          <w:i w:val="false"/>
          <w:caps w:val="false"/>
          <w:smallCaps w:val="false"/>
          <w:strike w:val="false"/>
          <w:dstrike w:val="false"/>
          <w:color w:val="000000"/>
          <w:sz w:val="20"/>
          <w:szCs w:val="20"/>
          <w:u w:val="none"/>
          <w:effect w:val="none"/>
        </w:rPr>
        <w:t>A</w:t>
      </w:r>
      <w:r>
        <w:rPr>
          <w:rFonts w:ascii="Liberation Serif" w:hAnsi="Liberation Serif"/>
          <w:b w:val="false"/>
          <w:bCs w:val="false"/>
          <w:i w:val="false"/>
          <w:caps w:val="false"/>
          <w:smallCaps w:val="false"/>
          <w:strike w:val="false"/>
          <w:dstrike w:val="false"/>
          <w:color w:val="000000"/>
          <w:sz w:val="20"/>
          <w:szCs w:val="20"/>
          <w:u w:val="none"/>
          <w:effect w:val="none"/>
        </w:rPr>
        <w:t>ttention Deficit/Hyperactivity Disorder in Physicians: Workplace Implications and Management Strategies. Can J Physician Leadersh 2021;7(4):160-165 https//doi.org/10.37964/cr24742</w:t>
      </w:r>
    </w:p>
    <w:p>
      <w:pPr>
        <w:pStyle w:val="TextBody"/>
        <w:numPr>
          <w:ilvl w:val="0"/>
          <w:numId w:val="1"/>
        </w:numPr>
        <w:rPr>
          <w:rFonts w:ascii="Liberation Serif" w:hAnsi="Liberation Serif"/>
          <w:b w:val="false"/>
          <w:b w:val="false"/>
          <w:bCs w:val="false"/>
          <w:color w:val="000000"/>
          <w:sz w:val="20"/>
          <w:szCs w:val="20"/>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Dyrbye LN, et al. Effect of a Professional Coaching Intervention on the Well-being and Distress of Physicians: A Pilot Randomized Clinical Trial. JAMA Intern Med. Published online August 05, 2019. doi:10.1001/jamainternmed.2019.2425. </w:t>
      </w:r>
    </w:p>
    <w:p>
      <w:pPr>
        <w:pStyle w:val="TextBody"/>
        <w:numPr>
          <w:ilvl w:val="0"/>
          <w:numId w:val="1"/>
        </w:numPr>
        <w:rPr/>
      </w:pPr>
      <w:r>
        <w:rPr>
          <w:rFonts w:ascii="Liberation Serif" w:hAnsi="Liberation Serif"/>
          <w:b w:val="false"/>
          <w:bCs w:val="false"/>
          <w:i w:val="false"/>
          <w:caps w:val="false"/>
          <w:smallCaps w:val="false"/>
          <w:strike w:val="false"/>
          <w:dstrike w:val="false"/>
          <w:color w:val="000000"/>
          <w:sz w:val="20"/>
          <w:szCs w:val="20"/>
          <w:u w:val="none"/>
          <w:effect w:val="none"/>
        </w:rPr>
        <w:t>Meeks LM, et al. Prevalence of self-disclosed disability among medical students in U.S. allopathic medical</w:t>
      </w:r>
      <w:r>
        <w:rPr>
          <w:rFonts w:ascii="Liberation Serif" w:hAnsi="Liberation Serif"/>
          <w:b w:val="false"/>
          <w:bCs w:val="false"/>
          <w:caps w:val="false"/>
          <w:smallCaps w:val="false"/>
          <w:strike w:val="false"/>
          <w:dstrike w:val="false"/>
          <w:color w:val="000000"/>
          <w:sz w:val="20"/>
          <w:szCs w:val="20"/>
          <w:u w:val="none"/>
          <w:effect w:val="none"/>
        </w:rPr>
        <w:t xml:space="preserve"> </w:t>
      </w:r>
      <w:r>
        <w:rPr>
          <w:rFonts w:ascii="Liberation Serif" w:hAnsi="Liberation Serif"/>
          <w:b w:val="false"/>
          <w:bCs w:val="false"/>
          <w:i w:val="false"/>
          <w:caps w:val="false"/>
          <w:smallCaps w:val="false"/>
          <w:strike w:val="false"/>
          <w:dstrike w:val="false"/>
          <w:color w:val="000000"/>
          <w:sz w:val="20"/>
          <w:szCs w:val="20"/>
          <w:u w:val="none"/>
          <w:effect w:val="none"/>
        </w:rPr>
        <w:t>schools.</w:t>
      </w:r>
      <w:r>
        <w:rPr>
          <w:rFonts w:ascii="Liberation Serif" w:hAnsi="Liberation Serif"/>
          <w:b w:val="false"/>
          <w:bCs w:val="false"/>
          <w:caps w:val="false"/>
          <w:smallCaps w:val="false"/>
          <w:strike w:val="false"/>
          <w:dstrike w:val="false"/>
          <w:color w:val="000000"/>
          <w:sz w:val="20"/>
          <w:szCs w:val="20"/>
          <w:u w:val="none"/>
          <w:effect w:val="none"/>
        </w:rPr>
        <w:t xml:space="preserve"> </w:t>
      </w:r>
      <w:r>
        <w:rPr>
          <w:rFonts w:ascii="Liberation Serif" w:hAnsi="Liberation Serif"/>
          <w:b w:val="false"/>
          <w:bCs w:val="false"/>
          <w:i w:val="false"/>
          <w:caps w:val="false"/>
          <w:smallCaps w:val="false"/>
          <w:strike w:val="false"/>
          <w:dstrike w:val="false"/>
          <w:color w:val="000000"/>
          <w:sz w:val="20"/>
          <w:szCs w:val="20"/>
          <w:u w:val="none"/>
          <w:effect w:val="none"/>
        </w:rPr>
        <w:t xml:space="preserve">JAMA 2016;316(21):2271-2. </w:t>
      </w:r>
      <w:hyperlink r:id="rId3" w:tgtFrame="_blank">
        <w:r>
          <w:rPr>
            <w:rStyle w:val="InternetLink"/>
            <w:rFonts w:ascii="Liberation Serif" w:hAnsi="Liberation Serif"/>
            <w:b w:val="false"/>
            <w:bCs w:val="false"/>
            <w:i w:val="false"/>
            <w:caps w:val="false"/>
            <w:smallCaps w:val="false"/>
            <w:strike w:val="false"/>
            <w:dstrike w:val="false"/>
            <w:color w:val="000000"/>
            <w:sz w:val="20"/>
            <w:szCs w:val="20"/>
            <w:u w:val="none"/>
            <w:effect w:val="none"/>
          </w:rPr>
          <w:t>https://doi.org/10.1001/jama.2016.10544</w:t>
        </w:r>
      </w:hyperlink>
      <w:r>
        <w:rPr>
          <w:rFonts w:ascii="Liberation Serif" w:hAnsi="Liberation Serif"/>
          <w:b w:val="false"/>
          <w:bCs w:val="false"/>
          <w:caps w:val="false"/>
          <w:smallCaps w:val="false"/>
          <w:strike w:val="false"/>
          <w:dstrike w:val="false"/>
          <w:color w:val="000000"/>
          <w:sz w:val="20"/>
          <w:szCs w:val="20"/>
          <w:u w:val="none"/>
          <w:effect w:val="none"/>
        </w:rPr>
        <w:t xml:space="preserve"> </w:t>
      </w:r>
    </w:p>
    <w:p>
      <w:pPr>
        <w:pStyle w:val="TextBody"/>
        <w:numPr>
          <w:ilvl w:val="0"/>
          <w:numId w:val="1"/>
        </w:numPr>
        <w:rPr>
          <w:rFonts w:ascii="Liberation Serif" w:hAnsi="Liberation Serif"/>
          <w:b w:val="false"/>
          <w:b w:val="false"/>
          <w:bCs w:val="false"/>
          <w:color w:val="000000"/>
          <w:sz w:val="20"/>
          <w:szCs w:val="20"/>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Teherani, A, et al. Clinical performance of medical students with protected disabilities. JAMA 2013;310(21):2309-2311. </w:t>
      </w:r>
      <w:r>
        <w:rPr>
          <w:rFonts w:ascii="Liberation Serif" w:hAnsi="Liberation Serif"/>
          <w:b w:val="false"/>
          <w:bCs w:val="false"/>
          <w:i w:val="false"/>
          <w:caps w:val="false"/>
          <w:smallCaps w:val="false"/>
          <w:strike w:val="false"/>
          <w:dstrike w:val="false"/>
          <w:color w:val="000000"/>
          <w:sz w:val="20"/>
          <w:szCs w:val="20"/>
          <w:u w:val="single"/>
          <w:effect w:val="none"/>
        </w:rPr>
        <w:t>https://doi:10.1001/jama.2013.283198</w:t>
      </w:r>
    </w:p>
    <w:p>
      <w:pPr>
        <w:pStyle w:val="TextBody"/>
        <w:numPr>
          <w:ilvl w:val="0"/>
          <w:numId w:val="1"/>
        </w:numPr>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Young S, Adamo N,  et al. Females with ADHD: an expert consensus statement taking a lifespan approach providing guidance for the identification and treatment of attention-deficit/hyperactivity disorder in girls and women. BMC Psychiatry 2020;20(1):404. </w:t>
      </w:r>
      <w:hyperlink r:id="rId4" w:tgtFrame="_blank">
        <w:r>
          <w:rPr>
            <w:rStyle w:val="InternetLink"/>
            <w:rFonts w:ascii="Liberation Serif" w:hAnsi="Liberation Serif"/>
            <w:b w:val="false"/>
            <w:bCs w:val="false"/>
            <w:i w:val="false"/>
            <w:caps w:val="false"/>
            <w:smallCaps w:val="false"/>
            <w:strike w:val="false"/>
            <w:dstrike w:val="false"/>
            <w:color w:val="000000"/>
            <w:sz w:val="20"/>
            <w:szCs w:val="20"/>
            <w:u w:val="none"/>
            <w:effect w:val="none"/>
          </w:rPr>
          <w:t>https://doi.org/10.1186/s12888-020-02707-9</w:t>
        </w:r>
      </w:hyperlink>
    </w:p>
    <w:p>
      <w:pPr>
        <w:pStyle w:val="TextBody"/>
        <w:numPr>
          <w:ilvl w:val="0"/>
          <w:numId w:val="1"/>
        </w:numPr>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Pallanti S, et al. Adult ADHD in other neurodevelopmental disorders. In The burden of adult ADHD in comorbid psychiatric and neurological disorders. New York: Springer; 2020:97-118. </w:t>
      </w:r>
      <w:hyperlink r:id="rId5">
        <w:r>
          <w:rPr>
            <w:rStyle w:val="InternetLink"/>
            <w:rFonts w:ascii="Liberation Serif" w:hAnsi="Liberation Serif"/>
            <w:b w:val="false"/>
            <w:bCs w:val="false"/>
            <w:i w:val="false"/>
            <w:caps w:val="false"/>
            <w:smallCaps w:val="false"/>
            <w:strike w:val="false"/>
            <w:dstrike w:val="false"/>
            <w:color w:val="000000"/>
            <w:sz w:val="20"/>
            <w:szCs w:val="20"/>
            <w:u w:val="none"/>
            <w:effect w:val="none"/>
          </w:rPr>
          <w:t>https://doi.org/10.1007/978-3-030-39051-8_7</w:t>
        </w:r>
      </w:hyperlink>
    </w:p>
    <w:p>
      <w:pPr>
        <w:pStyle w:val="TextBody"/>
        <w:numPr>
          <w:ilvl w:val="0"/>
          <w:numId w:val="1"/>
        </w:numPr>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Elliott HW, et al.  Attention deficit hyperactivity disorder accommodations for psychiatry residents. Acad Psychiatry 2007;31(4):290- </w:t>
      </w:r>
      <w:hyperlink r:id="rId6" w:tgtFrame="_blank">
        <w:r>
          <w:rPr>
            <w:rStyle w:val="InternetLink"/>
            <w:rFonts w:ascii="Liberation Serif" w:hAnsi="Liberation Serif"/>
            <w:b w:val="false"/>
            <w:bCs w:val="false"/>
            <w:i w:val="false"/>
            <w:caps w:val="false"/>
            <w:smallCaps w:val="false"/>
            <w:strike w:val="false"/>
            <w:dstrike w:val="false"/>
            <w:color w:val="000000"/>
            <w:sz w:val="20"/>
            <w:szCs w:val="20"/>
            <w:u w:val="none"/>
            <w:effect w:val="none"/>
          </w:rPr>
          <w:t>https://doi.org/10.1176/appi.ap.31.4.290</w:t>
        </w:r>
      </w:hyperlink>
    </w:p>
    <w:p>
      <w:pPr>
        <w:pStyle w:val="TextBody"/>
        <w:numPr>
          <w:ilvl w:val="0"/>
          <w:numId w:val="1"/>
        </w:numPr>
        <w:rPr>
          <w:rFonts w:ascii="Liberation Serif" w:hAnsi="Liberation Serif"/>
          <w:b w:val="false"/>
          <w:b w:val="false"/>
          <w:bCs w:val="false"/>
          <w:color w:val="000000"/>
          <w:sz w:val="20"/>
          <w:szCs w:val="20"/>
        </w:rPr>
      </w:pPr>
      <w:r>
        <w:rPr>
          <w:rFonts w:ascii="Liberation Serif" w:hAnsi="Liberation Serif"/>
          <w:b w:val="false"/>
          <w:bCs w:val="false"/>
          <w:color w:val="000000"/>
          <w:sz w:val="20"/>
          <w:szCs w:val="20"/>
        </w:rPr>
        <w:t>Farah, M. J. (2017). The Neuroscience of Creativity. Neuron, 96(2), 320-322.</w:t>
      </w:r>
    </w:p>
    <w:p>
      <w:pPr>
        <w:pStyle w:val="TextBody"/>
        <w:numPr>
          <w:ilvl w:val="0"/>
          <w:numId w:val="1"/>
        </w:numPr>
        <w:rPr/>
      </w:pPr>
      <w:r>
        <w:rPr>
          <w:rFonts w:ascii="Liberation Serif" w:hAnsi="Liberation Serif"/>
          <w:b w:val="false"/>
          <w:bCs w:val="false"/>
          <w:i w:val="false"/>
          <w:caps w:val="false"/>
          <w:smallCaps w:val="false"/>
          <w:strike w:val="false"/>
          <w:dstrike w:val="false"/>
          <w:color w:val="000000"/>
          <w:sz w:val="20"/>
          <w:szCs w:val="20"/>
          <w:u w:val="none"/>
          <w:effect w:val="none"/>
        </w:rPr>
        <w:t xml:space="preserve">Diagnostic and Statistical Manual of Mental Disorders (5th Ed). Washington, DC: American Psychiatric Association; 2013. </w:t>
      </w:r>
      <w:hyperlink r:id="rId7" w:tgtFrame="_blank">
        <w:r>
          <w:rPr>
            <w:rStyle w:val="InternetLink"/>
            <w:rFonts w:ascii="Liberation Serif" w:hAnsi="Liberation Serif"/>
            <w:b w:val="false"/>
            <w:bCs w:val="false"/>
            <w:i w:val="false"/>
            <w:caps w:val="false"/>
            <w:smallCaps w:val="false"/>
            <w:strike w:val="false"/>
            <w:dstrike w:val="false"/>
            <w:color w:val="000000"/>
            <w:sz w:val="20"/>
            <w:szCs w:val="20"/>
            <w:u w:val="none"/>
            <w:effect w:val="none"/>
          </w:rPr>
          <w:t>https://doi.org/10.1176/appi. books.9780890425596</w:t>
        </w:r>
      </w:hyperlink>
    </w:p>
    <w:p>
      <w:pPr>
        <w:pStyle w:val="TextBody"/>
        <w:numPr>
          <w:ilvl w:val="0"/>
          <w:numId w:val="1"/>
        </w:numPr>
        <w:rPr/>
      </w:pPr>
      <w:r>
        <w:rPr>
          <w:rFonts w:ascii="Liberation Serif" w:hAnsi="Liberation Serif"/>
          <w:b w:val="false"/>
          <w:bCs w:val="false"/>
          <w:i w:val="false"/>
          <w:caps w:val="false"/>
          <w:smallCaps w:val="false"/>
          <w:color w:val="000000"/>
          <w:spacing w:val="0"/>
          <w:sz w:val="20"/>
          <w:szCs w:val="20"/>
        </w:rPr>
        <w:t>Barkley, R. A. et al (2021). </w:t>
      </w:r>
      <w:r>
        <w:rPr>
          <w:rStyle w:val="Emphasis"/>
          <w:rFonts w:ascii="Liberation Serif" w:hAnsi="Liberation Serif"/>
          <w:b w:val="false"/>
          <w:bCs w:val="false"/>
          <w:i w:val="false"/>
          <w:caps w:val="false"/>
          <w:smallCaps w:val="false"/>
          <w:color w:val="000000"/>
          <w:spacing w:val="0"/>
          <w:sz w:val="20"/>
          <w:szCs w:val="20"/>
        </w:rPr>
        <w:t>Taking Charge of Adult ADHD: Proven Strategies to Succeed at Work, at Home, and in Relationships</w:t>
      </w:r>
      <w:r>
        <w:rPr>
          <w:rFonts w:ascii="Liberation Serif" w:hAnsi="Liberation Serif"/>
          <w:b w:val="false"/>
          <w:bCs w:val="false"/>
          <w:i w:val="false"/>
          <w:caps w:val="false"/>
          <w:smallCaps w:val="false"/>
          <w:color w:val="000000"/>
          <w:spacing w:val="0"/>
          <w:sz w:val="20"/>
          <w:szCs w:val="20"/>
        </w:rPr>
        <w:t>. Guilford Publications.</w:t>
      </w:r>
    </w:p>
    <w:p>
      <w:pPr>
        <w:pStyle w:val="TextBody"/>
        <w:widowControl/>
        <w:numPr>
          <w:ilvl w:val="0"/>
          <w:numId w:val="1"/>
        </w:numPr>
        <w:pBdr/>
        <w:spacing w:before="0" w:after="390"/>
        <w:rPr/>
      </w:pPr>
      <w:r>
        <w:rPr>
          <w:rFonts w:ascii="Liberation Serif" w:hAnsi="Liberation Serif"/>
          <w:b w:val="false"/>
          <w:bCs w:val="false"/>
          <w:i w:val="false"/>
          <w:caps w:val="false"/>
          <w:smallCaps w:val="false"/>
          <w:strike w:val="false"/>
          <w:dstrike w:val="false"/>
          <w:color w:val="000000"/>
          <w:spacing w:val="0"/>
          <w:sz w:val="20"/>
          <w:szCs w:val="20"/>
          <w:u w:val="none"/>
          <w:effect w:val="none"/>
        </w:rPr>
        <w:t>Hallowell, E. et al (2022). </w:t>
      </w:r>
      <w:r>
        <w:rPr>
          <w:rStyle w:val="Emphasis"/>
          <w:rFonts w:ascii="Liberation Serif" w:hAnsi="Liberation Serif"/>
          <w:b w:val="false"/>
          <w:bCs w:val="false"/>
          <w:i w:val="false"/>
          <w:caps w:val="false"/>
          <w:smallCaps w:val="false"/>
          <w:strike w:val="false"/>
          <w:dstrike w:val="false"/>
          <w:color w:val="000000"/>
          <w:spacing w:val="0"/>
          <w:sz w:val="20"/>
          <w:szCs w:val="20"/>
          <w:u w:val="none"/>
          <w:effect w:val="none"/>
        </w:rPr>
        <w:t>ADHD 2. 0: New Science and Essential Strategies for Thriving with Distraction–From Childhood Through Adulthood.</w:t>
      </w:r>
      <w:r>
        <w:rPr>
          <w:rFonts w:ascii="Liberation Serif" w:hAnsi="Liberation Serif"/>
          <w:b w:val="false"/>
          <w:bCs w:val="false"/>
          <w:i w:val="false"/>
          <w:caps w:val="false"/>
          <w:smallCaps w:val="false"/>
          <w:strike w:val="false"/>
          <w:dstrike w:val="false"/>
          <w:color w:val="000000"/>
          <w:spacing w:val="0"/>
          <w:sz w:val="20"/>
          <w:szCs w:val="20"/>
          <w:u w:val="none"/>
          <w:effect w:val="none"/>
        </w:rPr>
        <w:t> Ballantine Books.</w:t>
      </w:r>
    </w:p>
    <w:p>
      <w:pPr>
        <w:sectPr>
          <w:type w:val="continuous"/>
          <w:pgSz w:w="11906" w:h="16838"/>
          <w:pgMar w:left="620" w:right="600" w:header="0" w:top="995" w:footer="0" w:bottom="840" w:gutter="0"/>
          <w:cols w:num="2" w:equalWidth="false" w:sep="false">
            <w:col w:w="5211" w:space="138"/>
            <w:col w:w="5336"/>
          </w:cols>
          <w:formProt w:val="false"/>
          <w:textDirection w:val="lrTb"/>
          <w:docGrid w:type="default" w:linePitch="600" w:charSpace="36864"/>
        </w:sectPr>
      </w:pPr>
    </w:p>
    <w:p>
      <w:pPr>
        <w:pStyle w:val="TextBody"/>
        <w:spacing w:lineRule="exact" w:line="40"/>
        <w:ind w:left="2202" w:hanging="0"/>
        <w:rPr>
          <w:rFonts w:ascii="Calibri" w:hAnsi="Calibri"/>
          <w:sz w:val="4"/>
        </w:rPr>
      </w:pPr>
      <w:r>
        <w:rPr/>
        <mc:AlternateContent>
          <mc:Choice Requires="wpg">
            <w:drawing>
              <wp:inline distT="0" distB="0" distL="0" distR="0" wp14:anchorId="0964C96A">
                <wp:extent cx="3975735" cy="635"/>
                <wp:effectExtent l="1270" t="0" r="4445" b="3175"/>
                <wp:docPr id="7" name=""/>
                <a:graphic xmlns:a="http://schemas.openxmlformats.org/drawingml/2006/main">
                  <a:graphicData uri="http://schemas.microsoft.com/office/word/2010/wordprocessingGroup">
                    <wpg:wgp>
                      <wpg:cNvGrpSpPr/>
                      <wpg:grpSpPr>
                        <a:xfrm>
                          <a:off x="0" y="0"/>
                          <a:ext cx="3975120" cy="0"/>
                        </a:xfrm>
                      </wpg:grpSpPr>
                      <wps:wsp>
                        <wps:cNvSpPr/>
                        <wps:spPr>
                          <a:xfrm>
                            <a:off x="0" y="0"/>
                            <a:ext cx="397512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05pt;margin-top:-0.05pt;width:313pt;height:0pt" coordorigin="-1,-1" coordsize="6260,0">
                <v:line id="shape_0" from="0,-1" to="6259,-1" ID="Line 5" stroked="t" style="position:absolute;mso-position-vertical:top">
                  <v:stroke color="#004080" weight="25560" joinstyle="round" endcap="flat"/>
                  <v:fill o:detectmouseclick="t" on="false"/>
                </v:line>
              </v:group>
            </w:pict>
          </mc:Fallback>
        </mc:AlternateContent>
      </w:r>
    </w:p>
    <w:p>
      <w:pPr>
        <w:pStyle w:val="Normal"/>
        <w:spacing w:before="92" w:after="0"/>
        <w:ind w:right="4234" w:hanging="0"/>
        <w:rPr>
          <w:rFonts w:ascii="Arial" w:hAnsi="Arial"/>
        </w:rPr>
      </w:pPr>
      <w:r>
        <w:rPr>
          <w:rFonts w:ascii="Arial" w:hAnsi="Arial"/>
          <w:color w:val="BF5A14"/>
        </w:rPr>
        <w:t xml:space="preserve">Biography </w:t>
      </w:r>
    </w:p>
    <w:p>
      <w:pPr>
        <w:pStyle w:val="TextBody"/>
        <w:rPr>
          <w:sz w:val="16"/>
          <w:szCs w:val="16"/>
        </w:rPr>
      </w:pPr>
      <w:r>
        <w:rPr>
          <w:rFonts w:ascii="Roboto;sans-serif" w:hAnsi="Roboto;sans-serif"/>
          <w:b/>
          <w:color w:val="000000"/>
          <w:sz w:val="16"/>
          <w:szCs w:val="16"/>
        </w:rPr>
        <w:t>Dr. Diana Mercado-Marmarosh</w:t>
      </w:r>
      <w:r>
        <w:rPr>
          <w:rFonts w:ascii="Arial;sans-serif" w:hAnsi="Arial;sans-serif"/>
          <w:sz w:val="16"/>
          <w:szCs w:val="16"/>
        </w:rPr>
        <w:t xml:space="preserve"> </w:t>
      </w:r>
      <w:r>
        <w:rPr>
          <w:rFonts w:ascii="Roboto;sans-serif" w:hAnsi="Roboto;sans-serif"/>
          <w:color w:val="000000"/>
          <w:sz w:val="16"/>
          <w:szCs w:val="16"/>
        </w:rPr>
        <w:t>is a Family Medicine Physician, ADHD-Certified Clinical Service Provider, Clinic Medical Director and Former Chief Medical Officer. She is also the founder of OverAchieve Life Coaching. Prior to discovering coaching, Diana typically had 200 charts open and a graveyard of unfinished projects. But that has changed, and now she’s on a mission to empower physicians and healthcare professionals</w:t>
      </w:r>
      <w:r>
        <w:rPr>
          <w:rFonts w:ascii="Arial;sans-serif" w:hAnsi="Arial;sans-serif"/>
          <w:color w:val="000000"/>
          <w:sz w:val="16"/>
          <w:szCs w:val="16"/>
        </w:rPr>
        <w:t xml:space="preserve"> </w:t>
      </w:r>
      <w:r>
        <w:rPr>
          <w:rFonts w:ascii="Roboto;sans-serif" w:hAnsi="Roboto;sans-serif"/>
          <w:color w:val="000000"/>
          <w:sz w:val="16"/>
          <w:szCs w:val="16"/>
        </w:rPr>
        <w:t xml:space="preserve">create systems that are simple to implement with ADHD, supporting their zone of genius and reclaiming 5-10 hours per week of their personal life. Her clients learn to leave work at work. </w:t>
      </w:r>
      <w:r>
        <w:rPr>
          <w:rFonts w:ascii="Roboto;sans-serif" w:hAnsi="Roboto;sans-serif"/>
          <w:color w:val="000000"/>
          <w:sz w:val="16"/>
          <w:szCs w:val="16"/>
        </w:rPr>
        <w:t xml:space="preserve">In the past two years, </w:t>
      </w:r>
      <w:r>
        <w:rPr>
          <w:rFonts w:ascii="Roboto;sans-serif" w:hAnsi="Roboto;sans-serif"/>
          <w:color w:val="000000"/>
          <w:sz w:val="16"/>
          <w:szCs w:val="16"/>
        </w:rPr>
        <w:t xml:space="preserve">ninety physicians have participated in her 10 peer coaching cohorts. Diana is also an international speaker and has her own podcast. In May she will host a CME retreat for Physicians in Costa Rica. </w:t>
      </w:r>
      <w:r>
        <w:rPr>
          <w:rFonts w:ascii="Roboto;sans-serif" w:hAnsi="Roboto;sans-serif"/>
          <w:color w:val="000000"/>
          <w:sz w:val="16"/>
          <w:szCs w:val="16"/>
        </w:rPr>
        <w:t>She is happily married with two preschool children, enjoys travel, painting, yoga nidra, and exploring different cultures.</w:t>
      </w:r>
    </w:p>
    <w:p>
      <w:pPr>
        <w:pStyle w:val="Normal"/>
        <w:widowControl w:val="false"/>
        <w:bidi w:val="0"/>
        <w:spacing w:before="62" w:after="0"/>
        <w:ind w:left="4229" w:right="3329" w:hanging="0"/>
        <w:jc w:val="center"/>
        <w:rPr>
          <w:rFonts w:ascii="Arial" w:hAnsi="Arial"/>
          <w:sz w:val="14"/>
        </w:rPr>
      </w:pPr>
      <w:r>
        <mc:AlternateContent>
          <mc:Choice Requires="wps">
            <w:drawing>
              <wp:anchor behindDoc="0" distT="0" distB="0" distL="0" distR="0" simplePos="0" locked="0" layoutInCell="1" allowOverlap="1" relativeHeight="2" wp14:anchorId="46D2153F">
                <wp:simplePos x="0" y="0"/>
                <wp:positionH relativeFrom="page">
                  <wp:posOffset>2058670</wp:posOffset>
                </wp:positionH>
                <wp:positionV relativeFrom="paragraph">
                  <wp:posOffset>168275</wp:posOffset>
                </wp:positionV>
                <wp:extent cx="3442970" cy="635"/>
                <wp:effectExtent l="10795" t="6985" r="13970" b="12065"/>
                <wp:wrapTopAndBottom/>
                <wp:docPr id="8" name="Line 3"/>
                <a:graphic xmlns:a="http://schemas.openxmlformats.org/drawingml/2006/main">
                  <a:graphicData uri="http://schemas.microsoft.com/office/word/2010/wordprocessingShape">
                    <wps:wsp>
                      <wps:cNvSpPr/>
                      <wps:spPr>
                        <a:xfrm>
                          <a:off x="0" y="0"/>
                          <a:ext cx="344232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pt,13.25pt" ID="Line 3" stroked="t" style="position:absolute;mso-position-horizontal-relative:page" wp14:anchorId="46D2153F">
                <v:stroke color="#004080" weight="6480" joinstyle="round" endcap="flat"/>
                <v:fill o:detectmouseclick="t" on="false"/>
              </v:line>
            </w:pict>
          </mc:Fallback>
        </mc:AlternateContent>
      </w:r>
      <w:r>
        <w:rPr>
          <w:rFonts w:ascii="Arial" w:hAnsi="Arial"/>
          <w:sz w:val="14"/>
        </w:rPr>
        <w:t>Email:</w:t>
      </w:r>
      <w:hyperlink r:id="rId8">
        <w:r>
          <w:rPr>
            <w:rStyle w:val="InternetLink"/>
            <w:rFonts w:eastAsia="Tw Cen MT" w:cs="Tw Cen MT" w:ascii="Arial" w:hAnsi="Arial"/>
            <w:color w:val="0000FF" w:themeColor="hyperlink"/>
            <w:sz w:val="14"/>
            <w:u w:val="single"/>
          </w:rPr>
          <w:t>o</w:t>
        </w:r>
      </w:hyperlink>
      <w:r>
        <w:rPr>
          <w:rFonts w:eastAsia="Tw Cen MT" w:cs="Tw Cen MT" w:ascii="Arial" w:hAnsi="Arial"/>
          <w:color w:val="0000FF" w:themeColor="hyperlink"/>
          <w:sz w:val="14"/>
          <w:u w:val="single"/>
        </w:rPr>
        <w:t>verachievewithadhd@gmail..com</w:t>
      </w:r>
    </w:p>
    <w:p>
      <w:pPr>
        <w:pStyle w:val="Normal"/>
        <w:rPr>
          <w:b/>
          <w:b/>
          <w:sz w:val="20"/>
          <w:szCs w:val="20"/>
          <w:lang w:val="en-NZ"/>
        </w:rPr>
      </w:pPr>
      <w:r>
        <w:rPr>
          <w:b/>
          <w:sz w:val="20"/>
          <w:szCs w:val="20"/>
          <w:lang w:val="en-NZ"/>
        </w:rPr>
        <w:t xml:space="preserve">Presenting author details </w:t>
        <w:br/>
      </w:r>
      <w:r>
        <w:rPr>
          <w:sz w:val="20"/>
          <w:szCs w:val="20"/>
          <w:lang w:val="en-NZ"/>
        </w:rPr>
        <w:t xml:space="preserve">Full name: </w:t>
      </w:r>
      <w:r>
        <w:rPr>
          <w:sz w:val="20"/>
          <w:szCs w:val="20"/>
          <w:lang w:val="en-NZ"/>
        </w:rPr>
        <w:t>Diana Mercado-Marmarosh</w:t>
      </w:r>
      <w:r>
        <w:rPr>
          <w:sz w:val="20"/>
          <w:szCs w:val="20"/>
          <w:lang w:val="en-NZ"/>
        </w:rPr>
        <w:br/>
        <w:t xml:space="preserve">Contact number: </w:t>
      </w:r>
      <w:r>
        <w:rPr>
          <w:sz w:val="20"/>
          <w:szCs w:val="20"/>
          <w:lang w:val="en-NZ"/>
        </w:rPr>
        <w:t>713-359-0607</w:t>
      </w:r>
      <w:r>
        <w:rPr>
          <w:sz w:val="20"/>
          <w:szCs w:val="20"/>
          <w:lang w:val="en-NZ"/>
        </w:rPr>
        <w:br/>
        <w:t xml:space="preserve">Linked In account: </w:t>
      </w:r>
      <w:r>
        <w:rPr>
          <w:sz w:val="20"/>
          <w:szCs w:val="20"/>
          <w:lang w:val="en-NZ"/>
        </w:rPr>
        <w:t xml:space="preserve">drdianamercadomarmarosh  </w:t>
      </w:r>
    </w:p>
    <w:p>
      <w:pPr>
        <w:pStyle w:val="Normal"/>
        <w:rPr>
          <w:b/>
          <w:b/>
          <w:sz w:val="20"/>
          <w:szCs w:val="20"/>
          <w:lang w:val="en-NZ"/>
        </w:rPr>
      </w:pPr>
      <w:r>
        <w:rPr>
          <w:rFonts w:eastAsia="Tw Cen MT" w:cs="Tw Cen MT"/>
          <w:sz w:val="20"/>
          <w:szCs w:val="20"/>
          <w:lang w:val="en-NZ"/>
        </w:rPr>
        <w:t>Instagram</w:t>
      </w:r>
      <w:r>
        <w:rPr>
          <w:sz w:val="20"/>
          <w:szCs w:val="20"/>
          <w:lang w:val="en-NZ"/>
        </w:rPr>
        <w:t xml:space="preserve"> account: beyondadhdlifecoach</w:t>
      </w:r>
    </w:p>
    <w:p>
      <w:pPr>
        <w:pStyle w:val="Normal"/>
        <w:rPr>
          <w:b/>
          <w:b/>
          <w:sz w:val="20"/>
          <w:szCs w:val="20"/>
          <w:lang w:val="en-NZ"/>
        </w:rPr>
      </w:pPr>
      <w:r>
        <w:rPr>
          <w:sz w:val="20"/>
          <w:szCs w:val="20"/>
          <w:lang w:val="en-NZ"/>
        </w:rPr>
        <w:t>Session name/ number:</w:t>
      </w:r>
      <w:r>
        <w:rPr>
          <w:color w:val="000000"/>
          <w:sz w:val="18"/>
          <w:szCs w:val="18"/>
          <w:lang w:val="en-NZ"/>
        </w:rPr>
        <w:t xml:space="preserve"> </w:t>
      </w:r>
      <w:r>
        <w:rPr>
          <w:rFonts w:ascii="Amiri" w:hAnsi="Amiri"/>
          <w:b w:val="false"/>
          <w:bCs w:val="false"/>
          <w:i w:val="false"/>
          <w:caps w:val="false"/>
          <w:smallCaps w:val="false"/>
          <w:color w:val="000000"/>
          <w:spacing w:val="0"/>
          <w:sz w:val="18"/>
          <w:szCs w:val="18"/>
          <w:lang w:val="en-NZ"/>
        </w:rPr>
        <w:t xml:space="preserve">Breaking the Mold: How Peer Coaching Empowers ADHD Physicians to Thrive </w:t>
      </w:r>
      <w:r>
        <w:rPr>
          <w:rFonts w:ascii="Amiri" w:hAnsi="Amiri"/>
          <w:b w:val="false"/>
          <w:bCs w:val="false"/>
          <w:i w:val="false"/>
          <w:caps w:val="false"/>
          <w:smallCaps w:val="false"/>
          <w:color w:val="000000"/>
          <w:spacing w:val="0"/>
          <w:sz w:val="18"/>
          <w:szCs w:val="18"/>
          <w:lang w:val="en-NZ"/>
        </w:rPr>
        <w:t>in Medicine</w:t>
      </w:r>
    </w:p>
    <w:p>
      <w:pPr>
        <w:pStyle w:val="Normal"/>
        <w:rPr>
          <w:b/>
          <w:b/>
          <w:sz w:val="20"/>
          <w:szCs w:val="20"/>
          <w:lang w:val="en-NZ"/>
        </w:rPr>
      </w:pPr>
      <w:r>
        <w:rPr>
          <w:sz w:val="20"/>
          <w:szCs w:val="20"/>
          <w:lang w:val="en-NZ"/>
        </w:rPr>
        <w:t xml:space="preserve">Category:  </w:t>
      </w:r>
      <w:r>
        <w:rPr>
          <w:sz w:val="20"/>
          <w:szCs w:val="20"/>
          <w:lang w:val="en-NZ"/>
        </w:rPr>
        <w:t>oral presentation</w:t>
      </w:r>
    </w:p>
    <w:sectPr>
      <w:type w:val="continuous"/>
      <w:pgSz w:w="11906" w:h="16838"/>
      <w:pgMar w:left="620" w:right="600" w:header="0" w:top="995" w:footer="0" w:bottom="840" w:gutter="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w Cen MT">
    <w:charset w:val="00"/>
    <w:family w:val="roman"/>
    <w:pitch w:val="variable"/>
  </w:font>
  <w:font w:name="Minion Pro">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Arial">
    <w:altName w:val="Helvetica"/>
    <w:charset w:val="00"/>
    <w:family w:val="auto"/>
    <w:pitch w:val="default"/>
  </w:font>
  <w:font w:name="Impact">
    <w:charset w:val="00"/>
    <w:family w:val="roman"/>
    <w:pitch w:val="variable"/>
  </w:font>
  <w:font w:name="S hne">
    <w:altName w:val="ui-sans-serif"/>
    <w:charset w:val="00"/>
    <w:family w:val="auto"/>
    <w:pitch w:val="default"/>
  </w:font>
  <w:font w:name="Liberation Serif">
    <w:altName w:val="Times New Roman"/>
    <w:charset w:val="01"/>
    <w:family w:val="roman"/>
    <w:pitch w:val="variable"/>
  </w:font>
  <w:font w:name="Roboto">
    <w:altName w:val="sans-serif"/>
    <w:charset w:val="00"/>
    <w:family w:val="auto"/>
    <w:pitch w:val="default"/>
  </w:font>
  <w:font w:name="Arial">
    <w:altName w:val="sans-serif"/>
    <w:charset w:val="00"/>
    <w:family w:val="auto"/>
    <w:pitch w:val="default"/>
  </w:font>
  <w:font w:name="Amiri">
    <w:charset w:val="01"/>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0" distR="0" simplePos="0" locked="0" layoutInCell="1" allowOverlap="1" relativeHeight="3" wp14:anchorId="16353DE7">
              <wp:simplePos x="0" y="0"/>
              <wp:positionH relativeFrom="page">
                <wp:posOffset>444500</wp:posOffset>
              </wp:positionH>
              <wp:positionV relativeFrom="page">
                <wp:posOffset>10144760</wp:posOffset>
              </wp:positionV>
              <wp:extent cx="2136775" cy="249555"/>
              <wp:effectExtent l="0" t="635" r="635" b="0"/>
              <wp:wrapNone/>
              <wp:docPr id="1" name="Text Box 3"/>
              <a:graphic xmlns:a="http://schemas.openxmlformats.org/drawingml/2006/main">
                <a:graphicData uri="http://schemas.microsoft.com/office/word/2010/wordprocessingShape">
                  <wps:wsp>
                    <wps:cNvSpPr/>
                    <wps:spPr>
                      <a:xfrm>
                        <a:off x="0" y="0"/>
                        <a:ext cx="2136240" cy="24876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15pt;height:19.55pt;mso-position-horizontal-relative:page;mso-position-vertical-relative:page" wp14:anchorId="16353DE7">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0" distR="0" simplePos="0" locked="0" layoutInCell="1" allowOverlap="1" relativeHeight="4" wp14:anchorId="437E56F9">
              <wp:simplePos x="0" y="0"/>
              <wp:positionH relativeFrom="page">
                <wp:posOffset>3201670</wp:posOffset>
              </wp:positionH>
              <wp:positionV relativeFrom="page">
                <wp:posOffset>10147935</wp:posOffset>
              </wp:positionV>
              <wp:extent cx="1167765" cy="317500"/>
              <wp:effectExtent l="1270" t="3810" r="3175" b="3175"/>
              <wp:wrapNone/>
              <wp:docPr id="3" name="Text Box 2"/>
              <a:graphic xmlns:a="http://schemas.openxmlformats.org/drawingml/2006/main">
                <a:graphicData uri="http://schemas.microsoft.com/office/word/2010/wordprocessingShape">
                  <wps:wsp>
                    <wps:cNvSpPr/>
                    <wps:spPr>
                      <a:xfrm>
                        <a:off x="0" y="0"/>
                        <a:ext cx="1167120" cy="31680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85pt;height:24.9pt;mso-position-horizontal-relative:page;mso-position-vertical-relative:page" wp14:anchorId="437E56F9">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0" distR="0" simplePos="0" locked="0" layoutInCell="1" allowOverlap="1" relativeHeight="5" wp14:anchorId="5D6ACFB3">
              <wp:simplePos x="0" y="0"/>
              <wp:positionH relativeFrom="page">
                <wp:posOffset>5955030</wp:posOffset>
              </wp:positionH>
              <wp:positionV relativeFrom="page">
                <wp:posOffset>10144760</wp:posOffset>
              </wp:positionV>
              <wp:extent cx="1161415" cy="331470"/>
              <wp:effectExtent l="1905" t="635" r="0" b="1905"/>
              <wp:wrapNone/>
              <wp:docPr id="5" name="Text Box 1"/>
              <a:graphic xmlns:a="http://schemas.openxmlformats.org/drawingml/2006/main">
                <a:graphicData uri="http://schemas.microsoft.com/office/word/2010/wordprocessingShape">
                  <wps:wsp>
                    <wps:cNvSpPr/>
                    <wps:spPr>
                      <a:xfrm>
                        <a:off x="0" y="0"/>
                        <a:ext cx="1160640" cy="33084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35pt;height:26pt;mso-position-horizontal-relative:page;mso-position-vertical-relative:page" wp14:anchorId="5D6ACFB3">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bidi w:val="0"/>
      <w:spacing w:before="0" w:after="0"/>
      <w:jc w:val="left"/>
    </w:pPr>
    <w:rPr>
      <w:rFonts w:ascii="Tw Cen MT" w:hAnsi="Tw Cen MT" w:eastAsia="Tw Cen MT" w:cs="Tw Cen MT"/>
      <w:color w:val="auto"/>
      <w:kern w:val="0"/>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Hyper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NumberingSymbols">
    <w:name w:val="Numbering Symbols"/>
    <w:qFormat/>
    <w:rPr/>
  </w:style>
  <w:style w:type="character" w:styleId="VisitedInternetLink">
    <w:name w:val="FollowedHyperlink"/>
    <w:rPr>
      <w:color w:val="800000"/>
      <w:u w:val="single"/>
      <w:lang w:val="zxx" w:eastAsia="zxx" w:bidi="zxx"/>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5b3a56"/>
    <w:pPr>
      <w:tabs>
        <w:tab w:val="clear" w:pos="720"/>
        <w:tab w:val="center" w:pos="4513" w:leader="none"/>
        <w:tab w:val="right" w:pos="9026" w:leader="none"/>
      </w:tabs>
    </w:pPr>
    <w:rPr/>
  </w:style>
  <w:style w:type="paragraph" w:styleId="Footer">
    <w:name w:val="Footer"/>
    <w:basedOn w:val="Normal"/>
    <w:link w:val="FooterChar"/>
    <w:uiPriority w:val="99"/>
    <w:unhideWhenUsed/>
    <w:rsid w:val="005b3a56"/>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doi.org/10.1001/jama.2016.10544" TargetMode="External"/><Relationship Id="rId4" Type="http://schemas.openxmlformats.org/officeDocument/2006/relationships/hyperlink" Target="https://doi.org/10.1186/s12888-020-02707-9" TargetMode="External"/><Relationship Id="rId5" Type="http://schemas.openxmlformats.org/officeDocument/2006/relationships/hyperlink" Target="https://doi.org/10.1007/978-3-030-39051-8_7" TargetMode="External"/><Relationship Id="rId6" Type="http://schemas.openxmlformats.org/officeDocument/2006/relationships/hyperlink" Target="https://doi.org/10.1176/appi.ap.31.4.290" TargetMode="External"/><Relationship Id="rId7" Type="http://schemas.openxmlformats.org/officeDocument/2006/relationships/hyperlink" Target="https://doi.org/10.1176/appi. books.9780890425596" TargetMode="External"/><Relationship Id="rId8" Type="http://schemas.openxmlformats.org/officeDocument/2006/relationships/hyperlink" Target="mailto:drXXXXXXX@xxxmail.com"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Application>LibreOffice/6.4.1.2$Windows_X86_64 LibreOffice_project/4d224e95b98b138af42a64d84056446d09082932</Application>
  <Pages>2</Pages>
  <Words>576</Words>
  <Characters>3639</Characters>
  <CharactersWithSpaces>4217</CharactersWithSpaces>
  <Paragraphs>30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dc:description/>
  <dc:language>en-US</dc:language>
  <cp:lastModifiedBy/>
  <dcterms:modified xsi:type="dcterms:W3CDTF">2023-04-03T15:38:54Z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