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3.jpeg" ContentType="image/jpeg"/>
  <Override PartName="/word/media/image2.png" ContentType="image/png"/>
  <Override PartName="/word/media/image4.jpeg" ContentType="image/jpe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spacing w:before="170" w:after="0"/>
        <w:ind w:left="0" w:hanging="0"/>
        <w:jc w:val="both"/>
        <w:rPr/>
      </w:pPr>
      <w:r>
        <w:rPr>
          <w:color w:val="337AB7"/>
        </w:rPr>
        <w:t>Anticancer drug eumelanin and its composition with  silver nanoparticles</w:t>
      </w:r>
    </w:p>
    <w:p>
      <w:pPr>
        <w:pStyle w:val="5"/>
        <w:ind w:left="102" w:hanging="0"/>
        <w:rPr>
          <w:rFonts w:ascii="Arial" w:hAnsi="Arial" w:cs="Arial"/>
          <w:bCs/>
          <w:color w:val="000000" w:themeColor="text1"/>
          <w:sz w:val="18"/>
          <w:szCs w:val="18"/>
        </w:rPr>
      </w:pPr>
      <w:r>
        <w:rPr>
          <w:rFonts w:cs="Arial" w:ascii="Arial" w:hAnsi="Arial"/>
          <w:bCs/>
          <w:color w:val="000000" w:themeColor="text1"/>
          <w:sz w:val="18"/>
          <w:szCs w:val="18"/>
        </w:rPr>
        <w:t>N</w:t>
      </w:r>
      <w:r>
        <w:rPr>
          <w:rFonts w:cs="Arial" w:ascii="Arial" w:hAnsi="Arial"/>
          <w:bCs/>
          <w:color w:val="000000" w:themeColor="text1"/>
          <w:sz w:val="18"/>
          <w:szCs w:val="18"/>
          <w:lang w:val="uk-UA"/>
        </w:rPr>
        <w:t>.</w:t>
      </w:r>
      <w:r>
        <w:rPr>
          <w:rFonts w:cs="Arial" w:ascii="Arial" w:hAnsi="Arial"/>
          <w:bCs/>
          <w:color w:val="000000" w:themeColor="text1"/>
          <w:sz w:val="18"/>
          <w:szCs w:val="18"/>
        </w:rPr>
        <w:t>M</w:t>
      </w:r>
      <w:r>
        <w:rPr>
          <w:rFonts w:cs="Arial" w:ascii="Arial" w:hAnsi="Arial"/>
          <w:bCs/>
          <w:color w:val="000000" w:themeColor="text1"/>
          <w:sz w:val="18"/>
          <w:szCs w:val="18"/>
          <w:lang w:val="uk-UA"/>
        </w:rPr>
        <w:t>.</w:t>
      </w:r>
      <w:r>
        <w:rPr>
          <w:rFonts w:cs="Arial" w:ascii="Arial" w:hAnsi="Arial"/>
          <w:bCs/>
          <w:color w:val="000000" w:themeColor="text1"/>
          <w:sz w:val="18"/>
          <w:szCs w:val="18"/>
        </w:rPr>
        <w:t xml:space="preserve"> Permyakova</w:t>
      </w:r>
      <w:r>
        <w:rPr>
          <w:rFonts w:cs="Arial" w:ascii="Arial" w:hAnsi="Arial"/>
          <w:bCs/>
          <w:color w:val="000000" w:themeColor="text1"/>
          <w:sz w:val="18"/>
          <w:szCs w:val="18"/>
          <w:lang w:val="uk-UA"/>
        </w:rPr>
        <w:t xml:space="preserve">, </w:t>
      </w:r>
      <w:r>
        <w:rPr>
          <w:rFonts w:cs="Arial" w:ascii="Arial" w:hAnsi="Arial"/>
          <w:bCs/>
          <w:color w:val="000000" w:themeColor="text1"/>
          <w:sz w:val="18"/>
          <w:szCs w:val="18"/>
        </w:rPr>
        <w:t>T</w:t>
      </w:r>
      <w:r>
        <w:rPr>
          <w:rFonts w:cs="Arial" w:ascii="Arial" w:hAnsi="Arial"/>
          <w:bCs/>
          <w:color w:val="000000" w:themeColor="text1"/>
          <w:sz w:val="18"/>
          <w:szCs w:val="18"/>
          <w:lang w:val="uk-UA"/>
        </w:rPr>
        <w:t>.</w:t>
      </w:r>
      <w:r>
        <w:rPr>
          <w:rFonts w:cs="Arial" w:ascii="Arial" w:hAnsi="Arial"/>
          <w:bCs/>
          <w:color w:val="000000" w:themeColor="text1"/>
          <w:sz w:val="18"/>
          <w:szCs w:val="18"/>
        </w:rPr>
        <w:t>B</w:t>
      </w:r>
      <w:r>
        <w:rPr>
          <w:rFonts w:cs="Arial" w:ascii="Arial" w:hAnsi="Arial"/>
          <w:bCs/>
          <w:color w:val="000000" w:themeColor="text1"/>
          <w:sz w:val="18"/>
          <w:szCs w:val="18"/>
          <w:lang w:val="uk-UA"/>
        </w:rPr>
        <w:t>.</w:t>
      </w:r>
      <w:r>
        <w:rPr>
          <w:rFonts w:cs="Arial" w:ascii="Arial" w:hAnsi="Arial"/>
          <w:bCs/>
          <w:color w:val="000000" w:themeColor="text1"/>
          <w:sz w:val="18"/>
          <w:szCs w:val="18"/>
        </w:rPr>
        <w:t xml:space="preserve"> Zheltonozhskaya</w:t>
      </w:r>
      <w:r>
        <w:rPr>
          <w:rFonts w:cs="Arial" w:ascii="Arial" w:hAnsi="Arial"/>
          <w:bCs/>
          <w:color w:val="000000" w:themeColor="text1"/>
          <w:sz w:val="18"/>
          <w:szCs w:val="18"/>
          <w:lang w:val="uk-UA"/>
        </w:rPr>
        <w:t>,</w:t>
      </w:r>
      <w:r>
        <w:rPr>
          <w:rFonts w:cs="Arial" w:ascii="Arial" w:hAnsi="Arial"/>
          <w:bCs/>
          <w:color w:val="000000" w:themeColor="text1"/>
          <w:sz w:val="18"/>
          <w:szCs w:val="18"/>
        </w:rPr>
        <w:t xml:space="preserve"> V</w:t>
      </w:r>
      <w:r>
        <w:rPr>
          <w:rFonts w:cs="Arial" w:ascii="Arial" w:hAnsi="Arial"/>
          <w:bCs/>
          <w:color w:val="000000" w:themeColor="text1"/>
          <w:sz w:val="18"/>
          <w:szCs w:val="18"/>
          <w:lang w:val="uk-UA"/>
        </w:rPr>
        <w:t>.</w:t>
      </w:r>
      <w:r>
        <w:rPr>
          <w:rFonts w:cs="Arial" w:ascii="Arial" w:hAnsi="Arial"/>
          <w:bCs/>
          <w:color w:val="000000" w:themeColor="text1"/>
          <w:sz w:val="18"/>
          <w:szCs w:val="18"/>
        </w:rPr>
        <w:t>V</w:t>
      </w:r>
      <w:r>
        <w:rPr>
          <w:rFonts w:cs="Arial" w:ascii="Arial" w:hAnsi="Arial"/>
          <w:bCs/>
          <w:color w:val="000000" w:themeColor="text1"/>
          <w:sz w:val="18"/>
          <w:szCs w:val="18"/>
          <w:lang w:val="uk-UA"/>
        </w:rPr>
        <w:t>.</w:t>
      </w:r>
      <w:r>
        <w:rPr>
          <w:rFonts w:cs="Arial" w:ascii="Arial" w:hAnsi="Arial"/>
          <w:bCs/>
          <w:color w:val="000000" w:themeColor="text1"/>
          <w:sz w:val="18"/>
          <w:szCs w:val="18"/>
        </w:rPr>
        <w:t xml:space="preserve"> Klepko</w:t>
      </w:r>
      <w:r>
        <w:rPr>
          <w:rFonts w:cs="Arial" w:ascii="Arial" w:hAnsi="Arial"/>
          <w:bCs/>
          <w:color w:val="000000" w:themeColor="text1"/>
          <w:sz w:val="18"/>
          <w:szCs w:val="18"/>
          <w:lang w:val="uk-UA"/>
        </w:rPr>
        <w:t>,</w:t>
      </w:r>
      <w:r>
        <w:rPr>
          <w:rFonts w:cs="Arial" w:ascii="Arial" w:hAnsi="Arial"/>
          <w:bCs/>
          <w:color w:val="000000" w:themeColor="text1"/>
          <w:sz w:val="18"/>
          <w:szCs w:val="18"/>
        </w:rPr>
        <w:t xml:space="preserve"> </w:t>
      </w:r>
    </w:p>
    <w:p>
      <w:pPr>
        <w:pStyle w:val="5"/>
        <w:ind w:left="102" w:hanging="0"/>
        <w:rPr>
          <w:rFonts w:ascii="Arial" w:hAnsi="Arial" w:cs="Arial"/>
          <w:bCs/>
          <w:color w:val="000000" w:themeColor="text1"/>
          <w:sz w:val="18"/>
          <w:szCs w:val="18"/>
          <w:lang w:val="en-GB"/>
        </w:rPr>
      </w:pPr>
      <w:r>
        <w:rPr>
          <w:rFonts w:cs="Arial" w:ascii="Arial" w:hAnsi="Arial"/>
          <w:color w:val="000000" w:themeColor="text1"/>
          <w:sz w:val="18"/>
          <w:szCs w:val="18"/>
        </w:rPr>
        <w:t>Institute of Macromolecular Chemistry, NAS of Ukraine, Kyiv, Ukraine</w:t>
      </w:r>
      <w:r>
        <w:rPr>
          <w:rFonts w:cs="Arial" w:ascii="Arial" w:hAnsi="Arial"/>
          <w:bCs/>
          <w:color w:val="000000" w:themeColor="text1"/>
          <w:sz w:val="18"/>
          <w:szCs w:val="18"/>
          <w:lang w:val="en-GB"/>
        </w:rPr>
        <w:t xml:space="preserve"> </w:t>
      </w:r>
    </w:p>
    <w:p>
      <w:pPr>
        <w:pStyle w:val="5"/>
        <w:spacing w:lineRule="exact" w:line="198" w:before="73" w:after="0"/>
        <w:ind w:left="102" w:hanging="0"/>
        <w:jc w:val="both"/>
        <w:rPr>
          <w:rFonts w:ascii="Arial" w:hAnsi="Arial" w:cs="Arial"/>
          <w:bCs/>
          <w:color w:val="000000" w:themeColor="text1"/>
          <w:sz w:val="18"/>
          <w:szCs w:val="18"/>
        </w:rPr>
      </w:pPr>
      <w:r>
        <w:rPr>
          <w:rFonts w:cs="Arial" w:ascii="Arial" w:hAnsi="Arial"/>
          <w:bCs/>
          <w:color w:val="000000" w:themeColor="text1"/>
          <w:sz w:val="18"/>
          <w:szCs w:val="18"/>
        </w:rPr>
        <w:t>T.O. Kondratiuk</w:t>
      </w:r>
    </w:p>
    <w:p>
      <w:pPr>
        <w:pStyle w:val="Style12"/>
        <w:spacing w:lineRule="exact" w:line="198"/>
        <w:ind w:left="102" w:right="5988" w:hanging="0"/>
        <w:jc w:val="both"/>
        <w:rPr>
          <w:rFonts w:ascii="Arial" w:hAnsi="Arial" w:cs="Arial"/>
          <w:bCs/>
        </w:rPr>
      </w:pPr>
      <w:r>
        <w:rPr>
          <w:rFonts w:cs="Arial" w:ascii="Arial" w:hAnsi="Arial"/>
          <w:lang w:val="en-GB"/>
        </w:rPr>
        <w:t xml:space="preserve">Scientifically-Educational Center “Institute of Biology and Medicine”, Taras Shevchenko National University of Kyiv, Kyiv, Ukraine </w:t>
      </w:r>
    </w:p>
    <w:p>
      <w:pPr>
        <w:pStyle w:val="Style12"/>
        <w:spacing w:lineRule="exact" w:line="198" w:before="73" w:after="0"/>
        <w:ind w:left="100" w:right="5987" w:hanging="0"/>
        <w:rPr>
          <w:rFonts w:ascii="Arial" w:hAnsi="Arial"/>
        </w:rPr>
      </w:pPr>
      <w:r>
        <w:rPr>
          <w:rFonts w:cs="Arial" w:ascii="Arial" w:hAnsi="Arial"/>
          <w:bCs/>
        </w:rPr>
        <w:t>D</w:t>
      </w:r>
      <w:r>
        <w:rPr>
          <w:rFonts w:cs="Arial" w:ascii="Arial" w:hAnsi="Arial"/>
          <w:bCs/>
          <w:lang w:val="uk-UA"/>
        </w:rPr>
        <w:t>.</w:t>
      </w:r>
      <w:r>
        <w:rPr>
          <w:rFonts w:cs="Arial" w:ascii="Arial" w:hAnsi="Arial"/>
          <w:bCs/>
        </w:rPr>
        <w:t>O</w:t>
      </w:r>
      <w:r>
        <w:rPr>
          <w:rFonts w:cs="Arial" w:ascii="Arial" w:hAnsi="Arial"/>
          <w:bCs/>
          <w:lang w:val="uk-UA"/>
        </w:rPr>
        <w:t>.</w:t>
      </w:r>
      <w:r>
        <w:rPr>
          <w:rFonts w:cs="Arial" w:ascii="Arial" w:hAnsi="Arial"/>
          <w:bCs/>
        </w:rPr>
        <w:t xml:space="preserve"> Klymchuk, </w:t>
      </w:r>
      <w:r>
        <w:rPr>
          <w:rFonts w:cs="Arial" w:ascii="Arial" w:hAnsi="Arial"/>
        </w:rPr>
        <w:t>Institute of Botany, NAS of Ukraine, Kyiv, Ukraine</w:t>
      </w:r>
      <w:r>
        <w:rPr>
          <w:rFonts w:cs="Arial" w:ascii="Arial" w:hAnsi="Arial"/>
          <w:bCs/>
        </w:rPr>
        <w:t xml:space="preserve"> </w:t>
      </w:r>
    </w:p>
    <w:p>
      <w:pPr>
        <w:pStyle w:val="Style12"/>
        <w:rPr>
          <w:rFonts w:ascii="Arial" w:hAnsi="Arial"/>
          <w:sz w:val="20"/>
        </w:rPr>
      </w:pPr>
      <w:r>
        <w:rPr>
          <w:rFonts w:ascii="Arial" w:hAnsi="Arial"/>
          <w:sz w:val="20"/>
        </w:rPr>
      </w:r>
    </w:p>
    <w:p>
      <w:pPr>
        <w:sectPr>
          <w:footerReference w:type="default" r:id="rId2"/>
          <w:type w:val="nextPage"/>
          <w:pgSz w:w="11906" w:h="16838"/>
          <w:pgMar w:left="620" w:right="600" w:header="0" w:top="995" w:footer="0" w:bottom="840" w:gutter="0"/>
          <w:pgNumType w:fmt="decimal"/>
          <w:formProt w:val="false"/>
          <w:textDirection w:val="lrTb"/>
          <w:docGrid w:type="default" w:linePitch="600" w:charSpace="36864"/>
        </w:sectPr>
      </w:pPr>
    </w:p>
    <w:p>
      <w:pPr>
        <w:pStyle w:val="3"/>
        <w:spacing w:before="147" w:after="0"/>
        <w:jc w:val="both"/>
        <w:rPr>
          <w:rFonts w:ascii="Arial" w:hAnsi="Arial"/>
          <w:sz w:val="21"/>
        </w:rPr>
      </w:pPr>
      <w:r>
        <w:rPr>
          <w:color w:val="BF5A14"/>
        </w:rPr>
        <w:t>Abstract</w:t>
      </w:r>
    </w:p>
    <w:p>
      <w:pPr>
        <w:pStyle w:val="Normal"/>
        <w:ind w:left="0" w:right="0" w:firstLine="284"/>
        <w:jc w:val="both"/>
        <w:rPr>
          <w:sz w:val="18"/>
          <w:szCs w:val="18"/>
        </w:rPr>
      </w:pPr>
      <w:r>
        <w:rPr>
          <w:rFonts w:cs="Times New Roman"/>
          <w:color w:val="000000"/>
          <w:sz w:val="18"/>
          <w:szCs w:val="18"/>
          <w:lang w:val="en-US"/>
        </w:rPr>
        <w:t>In recent years, there has been a rapid expansion in the use of noble metal nanoparticles in biomedicine, pharmacology, cosmetology, and other areas related to human health.</w:t>
      </w:r>
      <w:r>
        <w:rPr>
          <w:rFonts w:cs="Times New Roman"/>
          <w:color w:val="000000"/>
          <w:sz w:val="18"/>
          <w:szCs w:val="18"/>
          <w:lang w:val="en"/>
        </w:rPr>
        <w:t xml:space="preserve"> Today, the particular attention is paid to the inclusion of gold and silver nanoparticles in various drugs or nanocarriers with drugs in order to combine their medicinal properties with the ability to control their pharmacokinetics in a living organism. In this context, t</w:t>
      </w:r>
      <w:r>
        <w:rPr>
          <w:rFonts w:cs="Times New Roman"/>
          <w:color w:val="000000"/>
          <w:sz w:val="18"/>
          <w:szCs w:val="18"/>
          <w:lang w:val="en-US"/>
        </w:rPr>
        <w:t xml:space="preserve">he current report presents a detailed study of </w:t>
      </w:r>
      <w:r>
        <w:rPr>
          <w:rFonts w:cs="Times New Roman"/>
          <w:i/>
          <w:color w:val="000000"/>
          <w:sz w:val="18"/>
          <w:szCs w:val="18"/>
          <w:lang w:val="en"/>
        </w:rPr>
        <w:t>in situ</w:t>
      </w:r>
      <w:r>
        <w:rPr>
          <w:rFonts w:cs="Times New Roman"/>
          <w:color w:val="000000"/>
          <w:sz w:val="18"/>
          <w:szCs w:val="18"/>
          <w:lang w:val="en"/>
        </w:rPr>
        <w:t xml:space="preserve"> synthesis of silver nanoparticles (AgNPs) in a poorly soluble drug eumelanin</w:t>
      </w:r>
      <w:r>
        <w:rPr>
          <w:rFonts w:cs="Times New Roman"/>
          <w:color w:val="000000"/>
          <w:sz w:val="18"/>
          <w:szCs w:val="18"/>
          <w:lang w:val="en-US"/>
        </w:rPr>
        <w:t xml:space="preserve"> (EMel) in an </w:t>
      </w:r>
      <w:r>
        <w:rPr>
          <w:rFonts w:cs="Times New Roman"/>
          <w:color w:val="000000"/>
          <w:sz w:val="18"/>
          <w:szCs w:val="18"/>
          <w:lang w:val="en"/>
        </w:rPr>
        <w:t xml:space="preserve">aqueous </w:t>
      </w:r>
      <w:r>
        <w:rPr>
          <w:rFonts w:cs="Times New Roman"/>
          <w:color w:val="000000"/>
          <w:sz w:val="18"/>
          <w:szCs w:val="18"/>
          <w:lang w:val="en-US"/>
        </w:rPr>
        <w:t>medium.</w:t>
      </w:r>
    </w:p>
    <w:p>
      <w:pPr>
        <w:pStyle w:val="Normal"/>
        <w:spacing w:lineRule="auto" w:line="240"/>
        <w:ind w:left="0" w:right="0" w:firstLine="284"/>
        <w:jc w:val="both"/>
        <w:rPr>
          <w:sz w:val="18"/>
          <w:szCs w:val="18"/>
        </w:rPr>
      </w:pPr>
      <w:r>
        <w:rPr>
          <w:rFonts w:cs="Times New Roman"/>
          <w:color w:val="000000"/>
          <w:sz w:val="18"/>
          <w:szCs w:val="18"/>
          <w:lang w:val="en-US"/>
        </w:rPr>
        <w:t>Well known, that the melanins are a broad class of polyphenolic functional biopolymers found throughout in nature. These biopolymers with good biocompatibility and biodegradability, binding ability to drugs and ions, intrinsic photoacoustic properties can serve as an efficient endogenous nanosystem for imaging-guided tumor chemotherapy.</w:t>
      </w:r>
      <w:r>
        <w:rPr>
          <w:rFonts w:cs="Times New Roman"/>
          <w:color w:val="000000"/>
          <w:sz w:val="18"/>
          <w:szCs w:val="18"/>
          <w:lang w:val="en"/>
        </w:rPr>
        <w:t xml:space="preserve"> </w:t>
      </w:r>
      <w:r>
        <w:rPr>
          <w:rFonts w:cs="Times New Roman"/>
          <w:color w:val="000000"/>
          <w:sz w:val="18"/>
          <w:szCs w:val="18"/>
          <w:lang w:val="en-US"/>
        </w:rPr>
        <w:t xml:space="preserve">Sample EMel was obtained as a vital activity product of black yeast </w:t>
      </w:r>
      <w:r>
        <w:rPr>
          <w:rFonts w:cs="Times New Roman"/>
          <w:bCs/>
          <w:color w:val="000000"/>
          <w:sz w:val="18"/>
          <w:szCs w:val="18"/>
          <w:lang w:val="en-US"/>
        </w:rPr>
        <w:t>“</w:t>
      </w:r>
      <w:r>
        <w:rPr>
          <w:rFonts w:cs="Times New Roman"/>
          <w:bCs/>
          <w:i/>
          <w:color w:val="000000"/>
          <w:sz w:val="18"/>
          <w:szCs w:val="18"/>
          <w:lang w:val="en-US"/>
        </w:rPr>
        <w:t>Nadsoniella nigra sp. X-1</w:t>
      </w:r>
      <w:r>
        <w:rPr>
          <w:rFonts w:cs="Times New Roman"/>
          <w:bCs/>
          <w:color w:val="000000"/>
          <w:sz w:val="18"/>
          <w:szCs w:val="18"/>
          <w:lang w:val="en-US"/>
        </w:rPr>
        <w:t>”</w:t>
      </w:r>
      <w:r>
        <w:rPr>
          <w:rFonts w:cs="Times New Roman"/>
          <w:color w:val="000000"/>
          <w:sz w:val="18"/>
          <w:szCs w:val="18"/>
          <w:lang w:val="en-US"/>
        </w:rPr>
        <w:t>.</w:t>
      </w:r>
      <w:r>
        <w:rPr>
          <w:rFonts w:cs="Times New Roman"/>
          <w:color w:val="000000"/>
          <w:sz w:val="18"/>
          <w:szCs w:val="18"/>
          <w:lang w:val="en"/>
        </w:rPr>
        <w:t xml:space="preserve"> The c</w:t>
      </w:r>
      <w:r>
        <w:rPr>
          <w:rFonts w:cs="Times New Roman"/>
          <w:color w:val="000000"/>
          <w:sz w:val="18"/>
          <w:szCs w:val="18"/>
          <w:lang w:val="en-US"/>
        </w:rPr>
        <w:t xml:space="preserve">hemical structure and polyampholytic properties of this sample </w:t>
      </w:r>
      <w:r>
        <w:rPr>
          <w:rFonts w:cs="Times New Roman"/>
          <w:bCs/>
          <w:color w:val="000000"/>
          <w:sz w:val="18"/>
          <w:szCs w:val="18"/>
          <w:lang w:val="en-US"/>
        </w:rPr>
        <w:t xml:space="preserve">were studied using </w:t>
      </w:r>
      <w:r>
        <w:rPr>
          <w:rFonts w:cs="Times New Roman"/>
          <w:bCs/>
          <w:color w:val="000000"/>
          <w:sz w:val="18"/>
          <w:szCs w:val="18"/>
          <w:vertAlign w:val="superscript"/>
          <w:lang w:val="en-US"/>
        </w:rPr>
        <w:t>1</w:t>
      </w:r>
      <w:r>
        <w:rPr>
          <w:rFonts w:cs="Times New Roman"/>
          <w:bCs/>
          <w:color w:val="000000"/>
          <w:sz w:val="18"/>
          <w:szCs w:val="18"/>
          <w:lang w:val="en-US"/>
        </w:rPr>
        <w:t xml:space="preserve">H NMR and </w:t>
      </w:r>
      <w:r>
        <w:rPr>
          <w:rFonts w:cs="Times New Roman"/>
          <w:color w:val="000000"/>
          <w:sz w:val="18"/>
          <w:szCs w:val="18"/>
          <w:lang w:val="en-US"/>
        </w:rPr>
        <w:t>FTIR spectroscopy and potentiometric titration</w:t>
      </w:r>
      <w:r>
        <w:rPr>
          <w:rFonts w:cs="Times New Roman"/>
          <w:bCs/>
          <w:color w:val="000000"/>
          <w:sz w:val="18"/>
          <w:szCs w:val="18"/>
          <w:lang w:val="en-US"/>
        </w:rPr>
        <w:t>.</w:t>
      </w:r>
      <w:r>
        <w:rPr>
          <w:rFonts w:cs="Times New Roman"/>
          <w:color w:val="000000"/>
          <w:sz w:val="18"/>
          <w:szCs w:val="18"/>
          <w:lang w:val="en-US"/>
        </w:rPr>
        <w:t xml:space="preserve"> </w:t>
      </w:r>
    </w:p>
    <w:p>
      <w:pPr>
        <w:pStyle w:val="Normal"/>
        <w:spacing w:lineRule="auto" w:line="240" w:before="0" w:after="0"/>
        <w:ind w:left="0" w:right="0" w:firstLine="284"/>
        <w:jc w:val="both"/>
        <w:rPr/>
      </w:pPr>
      <w:r>
        <w:rPr>
          <w:rFonts w:cs="Times New Roman"/>
          <w:color w:val="000000"/>
          <w:sz w:val="18"/>
          <w:szCs w:val="18"/>
          <w:lang w:val="en"/>
        </w:rPr>
        <w:t xml:space="preserve">The processes of borohydride reduction of silver salt to metal nanoparticles in EMel nanostructures in an aqueous medium were studied using UV-Vis spectroscopy and TEM. The kinetic features of the formation of silver particles in EMel nanostructures were monitored by changes in the position and integrated intensity of the AgNP surface plasmon resonance band at about 400 nm in time.  It was shown that EMel matrices provide high yield and stabilization of AgNPs in an aqueous medium. The morphology of the AgNPs/EMel composition is mainly represented by various EMel nanostructures containing metal nanoparticles of ~1.5-12 nm in size (Figure </w:t>
      </w:r>
      <w:r>
        <w:rPr>
          <w:rFonts w:cs="Times New Roman"/>
          <w:b/>
          <w:color w:val="000000"/>
          <w:sz w:val="18"/>
          <w:szCs w:val="18"/>
          <w:lang w:val="en"/>
        </w:rPr>
        <w:t>a</w:t>
      </w:r>
      <w:r>
        <w:rPr>
          <w:rFonts w:cs="Times New Roman"/>
          <w:color w:val="000000"/>
          <w:sz w:val="18"/>
          <w:szCs w:val="18"/>
          <w:lang w:val="en"/>
        </w:rPr>
        <w:t xml:space="preserve">). However, in single large EMel structures existing in the initial drug dispersion, the size of AgNPs can reach ~50 nm (Figure </w:t>
      </w:r>
      <w:r>
        <w:rPr>
          <w:rFonts w:cs="Times New Roman"/>
          <w:b/>
          <w:color w:val="000000"/>
          <w:sz w:val="18"/>
          <w:szCs w:val="18"/>
          <w:lang w:val="en"/>
        </w:rPr>
        <w:t>b</w:t>
      </w:r>
      <w:r>
        <w:rPr>
          <w:rFonts w:cs="Times New Roman"/>
          <w:color w:val="000000"/>
          <w:sz w:val="18"/>
          <w:szCs w:val="18"/>
          <w:lang w:val="en"/>
        </w:rPr>
        <w:t>).</w:t>
      </w:r>
    </w:p>
    <w:p>
      <w:pPr>
        <w:pStyle w:val="Normal"/>
        <w:spacing w:lineRule="auto" w:line="240" w:before="0" w:after="0"/>
        <w:ind w:left="0" w:right="0" w:firstLine="284"/>
        <w:jc w:val="both"/>
        <w:rPr>
          <w:sz w:val="20"/>
          <w:szCs w:val="20"/>
          <w:lang w:val="en-NZ"/>
        </w:rPr>
      </w:pPr>
      <w:r>
        <w:rPr>
          <w:sz w:val="20"/>
          <w:szCs w:val="20"/>
          <w:lang w:val="en-NZ"/>
        </w:rPr>
      </w:r>
    </w:p>
    <w:p>
      <w:pPr>
        <w:pStyle w:val="Style12"/>
        <w:spacing w:lineRule="auto" w:line="276" w:before="90" w:after="0"/>
        <w:ind w:left="100" w:hanging="0"/>
        <w:jc w:val="both"/>
        <w:rPr>
          <w:rFonts w:ascii="Arial" w:hAnsi="Arial"/>
          <w:sz w:val="21"/>
        </w:rPr>
      </w:pPr>
      <w:r>
        <w:rPr>
          <w:rFonts w:ascii="Arial" w:hAnsi="Arial"/>
          <w:sz w:val="21"/>
        </w:rPr>
      </w:r>
    </w:p>
    <w:p>
      <w:pPr>
        <w:pStyle w:val="Style12"/>
        <w:spacing w:lineRule="auto" w:line="276" w:before="90" w:after="0"/>
        <w:ind w:left="100" w:hanging="0"/>
        <w:jc w:val="both"/>
        <w:rPr>
          <w:rFonts w:ascii="Arial" w:hAnsi="Arial"/>
          <w:sz w:val="21"/>
        </w:rPr>
      </w:pPr>
      <w:r>
        <w:rPr>
          <w:rFonts w:ascii="Arial" w:hAnsi="Arial"/>
          <w:sz w:val="21"/>
        </w:rPr>
      </w:r>
    </w:p>
    <w:p>
      <w:pPr>
        <w:pStyle w:val="3"/>
        <w:spacing w:before="74" w:after="0"/>
        <w:rPr>
          <w:rFonts w:ascii="Arial" w:hAnsi="Arial"/>
          <w:sz w:val="21"/>
        </w:rPr>
      </w:pPr>
      <w:r>
        <w:br w:type="column"/>
      </w:r>
      <w:r>
        <w:rPr>
          <w:color w:val="BF5A14"/>
        </w:rPr>
        <w:t>Image</w:t>
      </w:r>
    </w:p>
    <w:tbl>
      <w:tblPr>
        <w:tblStyle w:val="ad"/>
        <w:tblW w:w="5220" w:type="dxa"/>
        <w:jc w:val="left"/>
        <w:tblInd w:w="99" w:type="dxa"/>
        <w:tblCellMar>
          <w:top w:w="0" w:type="dxa"/>
          <w:left w:w="108" w:type="dxa"/>
          <w:bottom w:w="0" w:type="dxa"/>
          <w:right w:w="108" w:type="dxa"/>
        </w:tblCellMar>
        <w:tblLook w:val="04a0" w:noHBand="0" w:noVBand="1" w:firstColumn="1" w:lastRow="0" w:lastColumn="0" w:firstRow="1"/>
      </w:tblPr>
      <w:tblGrid>
        <w:gridCol w:w="2610"/>
        <w:gridCol w:w="2609"/>
      </w:tblGrid>
      <w:tr>
        <w:trPr/>
        <w:tc>
          <w:tcPr>
            <w:tcW w:w="2610" w:type="dxa"/>
            <w:tcBorders/>
          </w:tcPr>
          <w:p>
            <w:pPr>
              <w:pStyle w:val="3"/>
              <w:ind w:left="0" w:hanging="0"/>
              <w:jc w:val="center"/>
              <w:rPr>
                <w:rFonts w:ascii="Tw Cen MT" w:hAnsi="Tw Cen MT"/>
                <w:color w:val="BF5A14"/>
                <w:sz w:val="18"/>
                <w:szCs w:val="18"/>
              </w:rPr>
            </w:pPr>
            <w:r>
              <w:rPr/>
              <w:drawing>
                <wp:inline distT="0" distB="0" distL="0" distR="0">
                  <wp:extent cx="1521460" cy="1185545"/>
                  <wp:effectExtent l="0" t="0" r="0" b="0"/>
                  <wp:docPr id="7" name="Зображенн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1" descr=""/>
                          <pic:cNvPicPr>
                            <a:picLocks noChangeAspect="1" noChangeArrowheads="1"/>
                          </pic:cNvPicPr>
                        </pic:nvPicPr>
                        <pic:blipFill>
                          <a:blip r:embed="rId3"/>
                          <a:srcRect l="-56" t="-71" r="-56" b="-71"/>
                          <a:stretch>
                            <a:fillRect/>
                          </a:stretch>
                        </pic:blipFill>
                        <pic:spPr bwMode="auto">
                          <a:xfrm>
                            <a:off x="0" y="0"/>
                            <a:ext cx="1521460" cy="1185545"/>
                          </a:xfrm>
                          <a:prstGeom prst="rect">
                            <a:avLst/>
                          </a:prstGeom>
                        </pic:spPr>
                      </pic:pic>
                    </a:graphicData>
                  </a:graphic>
                </wp:inline>
              </w:drawing>
            </w:r>
          </w:p>
        </w:tc>
        <w:tc>
          <w:tcPr>
            <w:tcW w:w="2609" w:type="dxa"/>
            <w:tcBorders/>
          </w:tcPr>
          <w:p>
            <w:pPr>
              <w:pStyle w:val="3"/>
              <w:ind w:left="0" w:hanging="0"/>
              <w:jc w:val="center"/>
              <w:rPr/>
            </w:pPr>
            <w:r>
              <w:rPr/>
              <w:drawing>
                <wp:inline distT="0" distB="0" distL="0" distR="0">
                  <wp:extent cx="1529715" cy="1175385"/>
                  <wp:effectExtent l="0" t="0" r="0" b="0"/>
                  <wp:docPr id="8" name="Зображення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2" descr=""/>
                          <pic:cNvPicPr>
                            <a:picLocks noChangeAspect="1" noChangeArrowheads="1"/>
                          </pic:cNvPicPr>
                        </pic:nvPicPr>
                        <pic:blipFill>
                          <a:blip r:embed="rId4"/>
                          <a:srcRect l="-55" t="-71" r="-55" b="-71"/>
                          <a:stretch>
                            <a:fillRect/>
                          </a:stretch>
                        </pic:blipFill>
                        <pic:spPr bwMode="auto">
                          <a:xfrm>
                            <a:off x="0" y="0"/>
                            <a:ext cx="1529715" cy="1175385"/>
                          </a:xfrm>
                          <a:prstGeom prst="rect">
                            <a:avLst/>
                          </a:prstGeom>
                        </pic:spPr>
                      </pic:pic>
                    </a:graphicData>
                  </a:graphic>
                </wp:inline>
              </w:drawing>
            </w:r>
          </w:p>
        </w:tc>
      </w:tr>
      <w:tr>
        <w:trPr/>
        <w:tc>
          <w:tcPr>
            <w:tcW w:w="2610" w:type="dxa"/>
            <w:tcBorders/>
          </w:tcPr>
          <w:p>
            <w:pPr>
              <w:pStyle w:val="3"/>
              <w:ind w:left="0" w:hanging="0"/>
              <w:rPr>
                <w:rFonts w:ascii="Tw Cen MT" w:hAnsi="Tw Cen MT"/>
                <w:sz w:val="18"/>
                <w:szCs w:val="18"/>
              </w:rPr>
            </w:pPr>
            <w:r>
              <w:rPr>
                <w:rFonts w:ascii="Tw Cen MT" w:hAnsi="Tw Cen MT"/>
                <w:sz w:val="18"/>
                <w:szCs w:val="18"/>
              </w:rPr>
              <w:t>a</w:t>
            </w:r>
          </w:p>
        </w:tc>
        <w:tc>
          <w:tcPr>
            <w:tcW w:w="2609" w:type="dxa"/>
            <w:tcBorders/>
          </w:tcPr>
          <w:p>
            <w:pPr>
              <w:pStyle w:val="3"/>
              <w:ind w:left="0" w:hanging="0"/>
              <w:rPr>
                <w:rFonts w:ascii="Tw Cen MT" w:hAnsi="Tw Cen MT"/>
                <w:sz w:val="18"/>
                <w:szCs w:val="18"/>
              </w:rPr>
            </w:pPr>
            <w:r>
              <w:rPr>
                <w:rFonts w:ascii="Tw Cen MT" w:hAnsi="Tw Cen MT"/>
                <w:sz w:val="18"/>
                <w:szCs w:val="18"/>
              </w:rPr>
              <w:t>b</w:t>
            </w:r>
          </w:p>
        </w:tc>
      </w:tr>
      <w:tr>
        <w:trPr/>
        <w:tc>
          <w:tcPr>
            <w:tcW w:w="5219" w:type="dxa"/>
            <w:gridSpan w:val="2"/>
            <w:tcBorders/>
          </w:tcPr>
          <w:p>
            <w:pPr>
              <w:pStyle w:val="3"/>
              <w:ind w:left="0" w:hanging="0"/>
              <w:jc w:val="both"/>
              <w:rPr>
                <w:rFonts w:ascii="Tw Cen MT" w:hAnsi="Tw Cen MT"/>
                <w:b w:val="false"/>
                <w:b w:val="false"/>
                <w:sz w:val="18"/>
                <w:szCs w:val="18"/>
              </w:rPr>
            </w:pPr>
            <w:r>
              <w:rPr>
                <w:rFonts w:eastAsia="MS Mincho" w:ascii="Tw Cen MT" w:hAnsi="Tw Cen MT"/>
                <w:sz w:val="18"/>
                <w:szCs w:val="18"/>
              </w:rPr>
              <w:t xml:space="preserve">Figure. </w:t>
            </w:r>
            <w:r>
              <w:rPr>
                <w:rFonts w:eastAsia="MS Mincho" w:ascii="Tw Cen MT" w:hAnsi="Tw Cen MT"/>
                <w:b w:val="false"/>
                <w:bCs w:val="false"/>
                <w:sz w:val="18"/>
                <w:szCs w:val="18"/>
              </w:rPr>
              <w:t>TEM images of the composition with smaller (</w:t>
            </w:r>
            <w:r>
              <w:rPr>
                <w:rFonts w:eastAsia="MS Mincho" w:ascii="Tw Cen MT" w:hAnsi="Tw Cen MT"/>
                <w:b/>
                <w:bCs/>
                <w:sz w:val="18"/>
                <w:szCs w:val="18"/>
              </w:rPr>
              <w:t>a)</w:t>
            </w:r>
            <w:r>
              <w:rPr>
                <w:rFonts w:eastAsia="MS Mincho" w:ascii="Tw Cen MT" w:hAnsi="Tw Cen MT"/>
                <w:b w:val="false"/>
                <w:bCs w:val="false"/>
                <w:sz w:val="18"/>
                <w:szCs w:val="18"/>
              </w:rPr>
              <w:t xml:space="preserve"> and larger (</w:t>
            </w:r>
            <w:r>
              <w:rPr>
                <w:rFonts w:eastAsia="MS Mincho" w:ascii="Tw Cen MT" w:hAnsi="Tw Cen MT"/>
                <w:b/>
                <w:bCs/>
                <w:sz w:val="18"/>
                <w:szCs w:val="18"/>
              </w:rPr>
              <w:t>b</w:t>
            </w:r>
            <w:r>
              <w:rPr>
                <w:rFonts w:eastAsia="MS Mincho" w:ascii="Tw Cen MT" w:hAnsi="Tw Cen MT"/>
                <w:b w:val="false"/>
                <w:bCs w:val="false"/>
                <w:sz w:val="18"/>
                <w:szCs w:val="18"/>
              </w:rPr>
              <w:t>) AgNP</w:t>
            </w:r>
          </w:p>
        </w:tc>
      </w:tr>
    </w:tbl>
    <w:p>
      <w:pPr>
        <w:pStyle w:val="Normal"/>
        <w:spacing w:lineRule="exact" w:line="204"/>
        <w:rPr>
          <w:rFonts w:ascii="Arial" w:hAnsi="Arial"/>
          <w:b/>
          <w:b/>
          <w:sz w:val="20"/>
        </w:rPr>
      </w:pPr>
      <w:r>
        <w:rPr>
          <w:rFonts w:ascii="Arial" w:hAnsi="Arial"/>
          <w:b/>
          <w:sz w:val="20"/>
        </w:rPr>
      </w:r>
    </w:p>
    <w:p>
      <w:pPr>
        <w:pStyle w:val="Normal"/>
        <w:spacing w:lineRule="exact" w:line="204"/>
        <w:rPr>
          <w:rFonts w:ascii="Arial" w:hAnsi="Arial"/>
          <w:b/>
          <w:b/>
          <w:sz w:val="20"/>
        </w:rPr>
      </w:pPr>
      <w:r>
        <w:rPr>
          <w:rFonts w:ascii="Arial" w:hAnsi="Arial"/>
          <w:b/>
          <w:color w:val="BF5A14"/>
          <w:sz w:val="20"/>
        </w:rPr>
        <w:t>Recent Publications</w:t>
      </w:r>
    </w:p>
    <w:p>
      <w:pPr>
        <w:pStyle w:val="ListParagraph"/>
        <w:numPr>
          <w:ilvl w:val="0"/>
          <w:numId w:val="1"/>
        </w:numPr>
        <w:tabs>
          <w:tab w:val="clear" w:pos="720"/>
          <w:tab w:val="left" w:pos="384" w:leader="none"/>
        </w:tabs>
        <w:spacing w:lineRule="exact" w:line="216" w:before="103" w:after="0"/>
        <w:ind w:left="383" w:right="138" w:hanging="283"/>
        <w:rPr>
          <w:sz w:val="18"/>
        </w:rPr>
      </w:pPr>
      <w:r>
        <w:rPr>
          <w:rFonts w:ascii="Tw Cen MT" w:hAnsi="Tw Cen MT"/>
          <w:sz w:val="18"/>
          <w:szCs w:val="18"/>
        </w:rPr>
        <w:t xml:space="preserve">Permyakova NM, Zheltonozhskaya TB, Beregova TV, Klymchuk DO, Falalyeyeva TM, Grishchenko LN (2016) Micellar nanocarriers for anticancer drug melanin. Mol Cryst Liq Cryst 640(1):122–133 </w:t>
      </w:r>
    </w:p>
    <w:p>
      <w:pPr>
        <w:pStyle w:val="ListParagraph"/>
        <w:numPr>
          <w:ilvl w:val="0"/>
          <w:numId w:val="1"/>
        </w:numPr>
        <w:tabs>
          <w:tab w:val="clear" w:pos="720"/>
          <w:tab w:val="left" w:pos="384" w:leader="none"/>
        </w:tabs>
        <w:spacing w:lineRule="auto" w:line="240" w:before="0" w:after="0"/>
        <w:ind w:left="386" w:right="136" w:hanging="284"/>
        <w:rPr>
          <w:rFonts w:ascii="Tw Cen MT" w:hAnsi="Tw Cen MT"/>
          <w:sz w:val="18"/>
          <w:szCs w:val="18"/>
        </w:rPr>
      </w:pPr>
      <w:r>
        <w:rPr>
          <w:rFonts w:ascii="Tw Cen MT" w:hAnsi="Tw Cen MT"/>
          <w:sz w:val="18"/>
          <w:szCs w:val="18"/>
        </w:rPr>
        <w:t xml:space="preserve">T. Zheltonozhskaya, N. Permyakova, T. Kondratiuk, T. Beregova, V. Klepko, B. Melnik </w:t>
      </w:r>
      <w:r>
        <w:rPr>
          <w:rFonts w:cs="Segoe UI" w:ascii="Tw Cen MT" w:hAnsi="Tw Cen MT"/>
          <w:sz w:val="18"/>
          <w:szCs w:val="18"/>
        </w:rPr>
        <w:t xml:space="preserve">(2019) </w:t>
      </w:r>
      <w:r>
        <w:rPr>
          <w:rFonts w:cs="Segoe UI" w:ascii="Tw Cen MT" w:hAnsi="Tw Cen MT"/>
          <w:sz w:val="18"/>
          <w:szCs w:val="18"/>
          <w:shd w:fill="FFFFFF" w:val="clear"/>
        </w:rPr>
        <w:t>Hybrid-stabilized silver nanoparticles and their biological impact on hospital infections, healing wounds, and wheat cultivation. French-Ukr. Journal of Chemistry 7(2):20-39</w:t>
      </w:r>
    </w:p>
    <w:p>
      <w:pPr>
        <w:pStyle w:val="ListParagraph"/>
        <w:numPr>
          <w:ilvl w:val="0"/>
          <w:numId w:val="1"/>
        </w:numPr>
        <w:tabs>
          <w:tab w:val="clear" w:pos="720"/>
          <w:tab w:val="left" w:pos="384" w:leader="none"/>
        </w:tabs>
        <w:spacing w:lineRule="auto" w:line="240" w:before="0" w:after="0"/>
        <w:ind w:left="386" w:right="136" w:hanging="284"/>
        <w:rPr>
          <w:sz w:val="18"/>
          <w:szCs w:val="18"/>
        </w:rPr>
      </w:pPr>
      <w:r>
        <w:rPr>
          <w:rFonts w:eastAsia="Calibri" w:cs="MyriadPro-Semibold" w:ascii="Tw Cen MT" w:hAnsi="Tw Cen MT" w:eastAsiaTheme="minorHAnsi"/>
          <w:sz w:val="18"/>
          <w:szCs w:val="18"/>
        </w:rPr>
        <w:t xml:space="preserve">N.M. Permyakova, T.B. Zheltonozhskaya, V.I. Karpovsky, R.V. Postoy, V.I. Maksin, S.V. Partsevskaya, L.N. Grishchenko, D.O. Klymchuk, V.V. Klepko (2022) Compositions of </w:t>
      </w:r>
      <w:r>
        <w:rPr>
          <w:rFonts w:eastAsia="Calibri" w:eastAsiaTheme="minorHAnsi"/>
          <w:sz w:val="18"/>
          <w:szCs w:val="18"/>
        </w:rPr>
        <w:t>α</w:t>
      </w:r>
      <w:r>
        <w:rPr>
          <w:rFonts w:eastAsia="Calibri" w:cs="MyriadPro-Semibold" w:ascii="Tw Cen MT" w:hAnsi="Tw Cen MT" w:eastAsiaTheme="minorHAnsi"/>
          <w:sz w:val="18"/>
          <w:szCs w:val="18"/>
        </w:rPr>
        <w:t>-tocopheryl acetate with micellar nanocarriers and their possible use as biologically active additives. Applied Nanoscience 12:1295-1313</w:t>
      </w:r>
      <w:r>
        <w:rPr>
          <w:rFonts w:eastAsia="Calibri" w:cs="MyriadPro-Semibold" w:ascii="Times New Roman" w:hAnsi="Times New Roman"/>
          <w:color w:val="000000"/>
          <w:sz w:val="18"/>
          <w:szCs w:val="18"/>
        </w:rPr>
        <w:t xml:space="preserve"> </w:t>
      </w:r>
    </w:p>
    <w:p>
      <w:pPr>
        <w:pStyle w:val="ListParagraph"/>
        <w:numPr>
          <w:ilvl w:val="0"/>
          <w:numId w:val="1"/>
        </w:numPr>
        <w:tabs>
          <w:tab w:val="clear" w:pos="720"/>
          <w:tab w:val="left" w:pos="384" w:leader="none"/>
        </w:tabs>
        <w:spacing w:lineRule="exact" w:line="216" w:before="0" w:after="0"/>
        <w:ind w:left="386" w:right="136" w:hanging="284"/>
        <w:rPr>
          <w:rFonts w:ascii="Tw Cen MT" w:hAnsi="Tw Cen MT"/>
          <w:sz w:val="18"/>
          <w:szCs w:val="18"/>
        </w:rPr>
      </w:pPr>
      <w:r>
        <w:rPr>
          <w:rFonts w:ascii="Tw Cen MT" w:hAnsi="Tw Cen MT"/>
          <w:sz w:val="18"/>
          <w:szCs w:val="18"/>
        </w:rPr>
        <w:t>Permyakova N, Zheltonozhskaya T, Ignatovskaya M, Maksin V, O, Klymchuk D (2018) Stimuli-responsive properties of special micellar nanocarriers and their application for delivery of vitamin E and its analogues. Coll Polym Sci 296:295–307</w:t>
      </w:r>
    </w:p>
    <w:p>
      <w:pPr>
        <w:pStyle w:val="Style12"/>
        <w:numPr>
          <w:ilvl w:val="0"/>
          <w:numId w:val="1"/>
        </w:numPr>
        <w:tabs>
          <w:tab w:val="clear" w:pos="720"/>
          <w:tab w:val="left" w:pos="384" w:leader="none"/>
        </w:tabs>
        <w:spacing w:lineRule="exact" w:line="216" w:before="0" w:after="0"/>
        <w:ind w:left="380" w:right="136" w:hanging="284"/>
        <w:jc w:val="both"/>
        <w:rPr>
          <w:rFonts w:ascii="Arial" w:hAnsi="Arial"/>
          <w:sz w:val="21"/>
        </w:rPr>
      </w:pPr>
      <w:r>
        <w:rPr>
          <w:rFonts w:ascii="Calibri" w:hAnsi="Calibri"/>
          <w:sz w:val="18"/>
        </w:rPr>
        <w:t>Shevchenko L.V., Dovbnia Y.Y.,  Zheltonozhskaya T.B., Permyakova N.M., Vygovska L.M., Ushkalov V.O. (2021) The effect of nanosilver in carriers based on polymer/inorganic hybrids on the quality and safety of edible chicken eggs. Regulatory Mechanisms in biosystems 12(3)</w:t>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0" w:top="995" w:footer="0" w:bottom="840" w:gutter="0"/>
          <w:cols w:num="2" w:equalWidth="false" w:sep="false">
            <w:col w:w="5211" w:space="138"/>
            <w:col w:w="5336"/>
          </w:cols>
          <w:formProt w:val="false"/>
          <w:textDirection w:val="lrTb"/>
          <w:docGrid w:type="default" w:linePitch="600" w:charSpace="36864"/>
        </w:sectPr>
      </w:pPr>
    </w:p>
    <w:p>
      <w:pPr>
        <w:pStyle w:val="Style12"/>
        <w:rPr>
          <w:rFonts w:ascii="Calibri" w:hAnsi="Calibri"/>
          <w:sz w:val="20"/>
        </w:rPr>
      </w:pPr>
      <w:r>
        <w:rPr>
          <w:rFonts w:ascii="Calibri" w:hAnsi="Calibri"/>
          <w:sz w:val="20"/>
        </w:rPr>
      </w:r>
    </w:p>
    <w:p>
      <w:pPr>
        <w:pStyle w:val="Style12"/>
        <w:spacing w:lineRule="exact" w:line="40"/>
        <w:ind w:left="2202" w:hanging="0"/>
        <w:rPr>
          <w:rFonts w:ascii="Calibri" w:hAnsi="Calibri"/>
          <w:sz w:val="4"/>
        </w:rPr>
      </w:pPr>
      <w:r>
        <w:rPr/>
        <mc:AlternateContent>
          <mc:Choice Requires="wpg">
            <w:drawing>
              <wp:inline distT="0" distB="3175" distL="1270" distR="4445" wp14:anchorId="0964C96A">
                <wp:extent cx="3977640" cy="635"/>
                <wp:effectExtent l="1270" t="0" r="4445" b="3175"/>
                <wp:docPr id="9" name="Фігура4"/>
                <a:graphic xmlns:a="http://schemas.openxmlformats.org/drawingml/2006/main">
                  <a:graphicData uri="http://schemas.microsoft.com/office/word/2010/wordprocessingGroup">
                    <wpg:wgp>
                      <wpg:cNvGrpSpPr/>
                      <wpg:grpSpPr>
                        <a:xfrm>
                          <a:off x="0" y="0"/>
                          <a:ext cx="3976920" cy="0"/>
                        </a:xfrm>
                      </wpg:grpSpPr>
                      <wps:wsp>
                        <wps:cNvSpPr/>
                        <wps:spPr>
                          <a:xfrm>
                            <a:off x="0" y="0"/>
                            <a:ext cx="397692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alt="Фігура4" style="position:absolute;margin-left:0pt;margin-top:-0.3pt;width:313.1pt;height:0pt" coordorigin="0,-6" coordsize="6262,0">
                <v:line id="shape_0" from="0,-6" to="6262,-6" stroked="t" style="position:absolute;mso-position-vertical:top">
                  <v:stroke color="#004080" weight="25560" joinstyle="round" endcap="flat"/>
                  <v:fill o:detectmouseclick="t" on="false"/>
                </v:line>
              </v:group>
            </w:pict>
          </mc:Fallback>
        </mc:AlternateContent>
      </w:r>
    </w:p>
    <w:p>
      <w:pPr>
        <w:pStyle w:val="Normal"/>
        <w:spacing w:before="92" w:after="0"/>
        <w:ind w:right="4234" w:hanging="0"/>
        <w:rPr>
          <w:rFonts w:ascii="Arial" w:hAnsi="Arial"/>
        </w:rPr>
      </w:pPr>
      <w:r>
        <w:rPr/>
        <w:t xml:space="preserve">              </w:t>
      </w:r>
      <w:r>
        <w:rPr/>
        <w:drawing>
          <wp:inline distT="0" distB="0" distL="0" distR="0">
            <wp:extent cx="422275" cy="605155"/>
            <wp:effectExtent l="0" t="0" r="0" b="0"/>
            <wp:docPr id="10" name="Рисунок 6" descr="Пермякова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 descr="Пермякова фото"/>
                    <pic:cNvPicPr>
                      <a:picLocks noChangeAspect="1" noChangeArrowheads="1"/>
                    </pic:cNvPicPr>
                  </pic:nvPicPr>
                  <pic:blipFill>
                    <a:blip r:embed="rId5"/>
                    <a:stretch>
                      <a:fillRect/>
                    </a:stretch>
                  </pic:blipFill>
                  <pic:spPr bwMode="auto">
                    <a:xfrm>
                      <a:off x="0" y="0"/>
                      <a:ext cx="422275" cy="605155"/>
                    </a:xfrm>
                    <a:prstGeom prst="rect">
                      <a:avLst/>
                    </a:prstGeom>
                  </pic:spPr>
                </pic:pic>
              </a:graphicData>
            </a:graphic>
          </wp:inline>
        </w:drawing>
      </w:r>
      <w:r>
        <w:rPr>
          <w:rFonts w:ascii="Arial" w:hAnsi="Arial"/>
          <w:color w:val="BF5A14"/>
        </w:rPr>
        <w:t>Biography</w:t>
      </w:r>
      <w:r>
        <w:drawing>
          <wp:anchor behindDoc="0" distT="0" distB="0" distL="0" distR="0" simplePos="0" locked="0" layoutInCell="1" allowOverlap="1" relativeHeight="9">
            <wp:simplePos x="0" y="0"/>
            <wp:positionH relativeFrom="column">
              <wp:posOffset>5929630</wp:posOffset>
            </wp:positionH>
            <wp:positionV relativeFrom="paragraph">
              <wp:posOffset>130810</wp:posOffset>
            </wp:positionV>
            <wp:extent cx="467360" cy="484505"/>
            <wp:effectExtent l="0" t="0" r="0" b="0"/>
            <wp:wrapNone/>
            <wp:docPr id="11" name="object 3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ject 308" descr=""/>
                    <pic:cNvPicPr>
                      <a:picLocks noChangeAspect="1" noChangeArrowheads="1"/>
                    </pic:cNvPicPr>
                  </pic:nvPicPr>
                  <pic:blipFill>
                    <a:blip r:embed="rId6"/>
                    <a:stretch>
                      <a:fillRect/>
                    </a:stretch>
                  </pic:blipFill>
                  <pic:spPr bwMode="auto">
                    <a:xfrm>
                      <a:off x="0" y="0"/>
                      <a:ext cx="467360" cy="484505"/>
                    </a:xfrm>
                    <a:prstGeom prst="rect">
                      <a:avLst/>
                    </a:prstGeom>
                    <a:ln w="635">
                      <a:solidFill>
                        <a:srgbClr val="000000"/>
                      </a:solidFill>
                    </a:ln>
                  </pic:spPr>
                </pic:pic>
              </a:graphicData>
            </a:graphic>
          </wp:anchor>
        </w:drawing>
      </w:r>
      <w:r>
        <w:rPr>
          <w:rFonts w:cs="Times New Roman" w:ascii="Times New Roman" w:hAnsi="Times New Roman"/>
          <w:sz w:val="24"/>
          <w:szCs w:val="24"/>
        </w:rPr>
        <w:t xml:space="preserve"> </w:t>
      </w:r>
    </w:p>
    <w:p>
      <w:pPr>
        <w:pStyle w:val="Normal"/>
        <w:spacing w:lineRule="exact" w:line="154" w:before="41" w:after="0"/>
        <w:ind w:left="213" w:right="231" w:hanging="0"/>
        <w:jc w:val="both"/>
        <w:rPr>
          <w:rFonts w:ascii="Arial" w:hAnsi="Arial"/>
          <w:sz w:val="14"/>
        </w:rPr>
      </w:pPr>
      <w:r>
        <w:rPr>
          <w:rFonts w:ascii="Arial" w:hAnsi="Arial"/>
          <w:sz w:val="14"/>
        </w:rPr>
        <w:t xml:space="preserve">Nataliya Permyakova graduated from the faculty of Chemistry of Taras Shevchenko National University of Kyiv in the speciality of physical chemistry and colloids. From 1980 to 2018 worked as the scientific researcher at the department of Macromolecular Chemistry of  Faculty of Chemistry Taras Shevchenko National University of Kyiv. Since 2019 works as the scientific researcher at the department of Polymer Physics of the Institute of Macromolecular Chemistry of the NAS of Ukraine. Research direction and interests: design and research of physicochemical and functional properties of heteropolymers, polymer/inorganic hybrids and multicomponent systems, based on them, for nanotechnology, biomedicine, environment and agriculture, in particular, synthesis of metal nanoparticles in polymer matrices and creation of micellar nanocarriers for drug delivery.   </w:t>
      </w:r>
    </w:p>
    <w:p>
      <w:pPr>
        <w:pStyle w:val="Normal"/>
        <w:spacing w:lineRule="exact" w:line="154" w:before="41" w:after="0"/>
        <w:ind w:left="213" w:right="231" w:hanging="0"/>
        <w:jc w:val="both"/>
        <w:rPr>
          <w:rFonts w:ascii="Arial" w:hAnsi="Arial"/>
          <w:sz w:val="14"/>
        </w:rPr>
      </w:pPr>
      <w:r>
        <w:rPr>
          <w:rFonts w:ascii="Arial" w:hAnsi="Arial"/>
          <w:sz w:val="14"/>
        </w:rPr>
      </w:r>
    </w:p>
    <w:p>
      <w:pPr>
        <w:pStyle w:val="Normal"/>
        <w:spacing w:lineRule="exact" w:line="154" w:before="41" w:after="0"/>
        <w:ind w:left="213" w:right="231" w:hanging="0"/>
        <w:jc w:val="both"/>
        <w:rPr>
          <w:rFonts w:ascii="Arial" w:hAnsi="Arial"/>
          <w:sz w:val="14"/>
        </w:rPr>
      </w:pPr>
      <w:r>
        <w:rPr>
          <w:rFonts w:ascii="Arial" w:hAnsi="Arial"/>
          <w:sz w:val="14"/>
        </w:rPr>
      </w:r>
    </w:p>
    <w:p>
      <w:pPr>
        <w:pStyle w:val="Normal"/>
        <w:spacing w:before="62" w:after="0"/>
        <w:ind w:left="4217" w:right="4235" w:hanging="0"/>
        <w:jc w:val="center"/>
        <w:rPr>
          <w:rFonts w:ascii="Arial" w:hAnsi="Arial"/>
          <w:sz w:val="14"/>
        </w:rPr>
      </w:pPr>
      <w:r>
        <w:rPr>
          <w:rFonts w:ascii="Arial" w:hAnsi="Arial"/>
          <w:sz w:val="14"/>
        </w:rPr>
        <w:t>Email: permmyakova</w:t>
      </w:r>
      <w:hyperlink r:id="rId7">
        <w:r>
          <w:rPr>
            <w:rFonts w:ascii="Arial" w:hAnsi="Arial"/>
            <w:sz w:val="14"/>
          </w:rPr>
          <w:t>@</w:t>
        </w:r>
      </w:hyperlink>
      <w:r>
        <w:rPr>
          <w:rFonts w:ascii="Arial" w:hAnsi="Arial"/>
          <w:sz w:val="14"/>
        </w:rPr>
        <w:t>ukr.net</w:t>
      </w:r>
    </w:p>
    <w:p>
      <w:pPr>
        <w:pStyle w:val="Style12"/>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14:anchorId="46D2153F">
                <wp:simplePos x="0" y="0"/>
                <wp:positionH relativeFrom="page">
                  <wp:posOffset>2058670</wp:posOffset>
                </wp:positionH>
                <wp:positionV relativeFrom="paragraph">
                  <wp:posOffset>168275</wp:posOffset>
                </wp:positionV>
                <wp:extent cx="3444875" cy="635"/>
                <wp:effectExtent l="10795" t="6985" r="13970" b="12065"/>
                <wp:wrapTopAndBottom/>
                <wp:docPr id="12" name="Line 3"/>
                <a:graphic xmlns:a="http://schemas.openxmlformats.org/drawingml/2006/main">
                  <a:graphicData uri="http://schemas.microsoft.com/office/word/2010/wordprocessingShape">
                    <wps:wsp>
                      <wps:cNvSpPr/>
                      <wps:spPr>
                        <a:xfrm>
                          <a:off x="0" y="0"/>
                          <a:ext cx="344412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25pt,13.25pt" ID="Line 3" stroked="t" style="position:absolute;mso-position-horizontal-relative:page" wp14:anchorId="46D2153F">
                <v:stroke color="#004080" weight="6480" joinstyle="round" endcap="flat"/>
                <v:fill o:detectmouseclick="t" on="false"/>
              </v:line>
            </w:pict>
          </mc:Fallback>
        </mc:AlternateContent>
      </w:r>
    </w:p>
    <w:p>
      <w:pPr>
        <w:pStyle w:val="Style12"/>
        <w:rPr>
          <w:rFonts w:ascii="Arial" w:hAnsi="Arial"/>
          <w:sz w:val="20"/>
        </w:rPr>
      </w:pPr>
      <w:r>
        <w:rPr>
          <w:rFonts w:ascii="Arial" w:hAnsi="Arial"/>
          <w:sz w:val="20"/>
        </w:rPr>
      </w:r>
    </w:p>
    <w:p>
      <w:pPr>
        <w:pStyle w:val="Style12"/>
        <w:rPr>
          <w:rFonts w:ascii="Arial" w:hAnsi="Arial"/>
          <w:sz w:val="20"/>
        </w:rPr>
      </w:pPr>
      <w:r>
        <w:rPr>
          <w:rFonts w:ascii="Arial" w:hAnsi="Arial"/>
          <w:sz w:val="20"/>
        </w:rPr>
      </w:r>
    </w:p>
    <w:p>
      <w:pPr>
        <w:pStyle w:val="Style12"/>
        <w:spacing w:before="7" w:after="0"/>
        <w:rPr>
          <w:rFonts w:ascii="Arial" w:hAnsi="Arial"/>
          <w:sz w:val="29"/>
        </w:rPr>
      </w:pPr>
      <w:r>
        <w:rPr>
          <w:rFonts w:ascii="Arial" w:hAnsi="Arial"/>
          <w:sz w:val="29"/>
        </w:rPr>
      </w:r>
    </w:p>
    <w:p>
      <w:pPr>
        <w:pStyle w:val="Normal"/>
        <w:spacing w:before="39" w:after="0"/>
        <w:ind w:left="100" w:hanging="0"/>
        <w:rPr>
          <w:rFonts w:ascii="Minion Pro" w:hAnsi="Minion Pro"/>
          <w:b/>
          <w:b/>
          <w:sz w:val="20"/>
        </w:rPr>
      </w:pPr>
      <w:r>
        <w:rPr>
          <w:rFonts w:ascii="Minion Pro" w:hAnsi="Minion Pro"/>
          <w:b/>
          <w:sz w:val="20"/>
        </w:rPr>
        <w:t>Notes/Comments:</w:t>
      </w:r>
    </w:p>
    <w:p>
      <w:pPr>
        <w:pStyle w:val="Normal"/>
        <w:spacing w:before="39" w:after="0"/>
        <w:ind w:left="100" w:hanging="0"/>
        <w:rPr>
          <w:rFonts w:ascii="Minion Pro" w:hAnsi="Minion Pro"/>
          <w:b/>
          <w:b/>
          <w:sz w:val="20"/>
        </w:rPr>
      </w:pPr>
      <w:r>
        <w:rPr>
          <w:rFonts w:ascii="Minion Pro" w:hAnsi="Minion Pro"/>
          <w:b/>
          <w:sz w:val="20"/>
        </w:rPr>
      </w:r>
    </w:p>
    <w:p>
      <w:pPr>
        <w:pStyle w:val="Normal"/>
        <w:spacing w:before="39" w:after="0"/>
        <w:ind w:left="100" w:hanging="0"/>
        <w:rPr>
          <w:rFonts w:ascii="Minion Pro" w:hAnsi="Minion Pro"/>
          <w:b/>
          <w:b/>
          <w:sz w:val="20"/>
        </w:rPr>
      </w:pPr>
      <w:r>
        <w:rPr>
          <w:rFonts w:ascii="Minion Pro" w:hAnsi="Minion Pro"/>
          <w:b/>
          <w:sz w:val="20"/>
        </w:rPr>
      </w:r>
    </w:p>
    <w:p>
      <w:pPr>
        <w:pStyle w:val="Normal"/>
        <w:rPr>
          <w:b/>
          <w:b/>
          <w:sz w:val="20"/>
          <w:szCs w:val="20"/>
          <w:lang w:val="en-NZ"/>
        </w:rPr>
      </w:pPr>
      <w:r>
        <w:rPr>
          <w:b/>
          <w:sz w:val="20"/>
          <w:szCs w:val="20"/>
          <w:lang w:val="en-NZ"/>
        </w:rPr>
        <w:t xml:space="preserve">Presenting author details </w:t>
        <w:br/>
      </w:r>
      <w:r>
        <w:rPr>
          <w:sz w:val="20"/>
          <w:szCs w:val="20"/>
          <w:lang w:val="en-NZ"/>
        </w:rPr>
        <w:t>Full name: Permyakova Nataliya</w:t>
        <w:br/>
        <w:t>Contact number: +38 0634827782</w:t>
        <w:br/>
        <w:t>Twitter account:</w:t>
        <w:br/>
        <w:t>Linked In account:</w:t>
      </w:r>
    </w:p>
    <w:p>
      <w:pPr>
        <w:pStyle w:val="Normal"/>
        <w:rPr>
          <w:sz w:val="20"/>
          <w:szCs w:val="20"/>
          <w:lang w:val="en-NZ"/>
        </w:rPr>
      </w:pPr>
      <w:r>
        <w:rPr>
          <w:sz w:val="20"/>
          <w:szCs w:val="20"/>
          <w:lang w:val="en-NZ"/>
        </w:rPr>
        <w:t>Session name/ number: 19. Nano Biotechnology</w:t>
        <w:br/>
        <w:t>Category: Poster presentation</w:t>
      </w:r>
    </w:p>
    <w:p>
      <w:pPr>
        <w:pStyle w:val="Normal"/>
        <w:rPr>
          <w:sz w:val="20"/>
          <w:szCs w:val="20"/>
          <w:lang w:val="en-NZ"/>
        </w:rPr>
      </w:pPr>
      <w:r>
        <w:rPr>
          <w:sz w:val="20"/>
          <w:szCs w:val="20"/>
          <w:lang w:val="en-NZ"/>
        </w:rPr>
      </w:r>
    </w:p>
    <w:p>
      <w:pPr>
        <w:sectPr>
          <w:type w:val="continuous"/>
          <w:pgSz w:w="11906" w:h="16838"/>
          <w:pgMar w:left="620" w:right="600" w:header="0" w:top="995" w:footer="0" w:bottom="840" w:gutter="0"/>
          <w:formProt w:val="false"/>
          <w:textDirection w:val="lrTb"/>
          <w:docGrid w:type="default" w:linePitch="600" w:charSpace="36864"/>
        </w:sectPr>
      </w:pPr>
    </w:p>
    <w:p>
      <w:pPr>
        <w:pStyle w:val="Normal"/>
        <w:jc w:val="both"/>
        <w:rPr>
          <w:rFonts w:ascii="Minion Pro" w:hAnsi="Minion Pro"/>
          <w:sz w:val="26"/>
        </w:rPr>
      </w:pPr>
      <w:r>
        <w:rPr/>
      </w:r>
    </w:p>
    <w:sectPr>
      <w:type w:val="continuous"/>
      <w:pgSz w:w="11906" w:h="16838"/>
      <w:pgMar w:left="620" w:right="600" w:header="0" w:top="995" w:footer="0" w:bottom="840" w:gutter="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roman"/>
    <w:pitch w:val="variable"/>
  </w:font>
  <w:font w:name="Times New Roman">
    <w:charset w:val="01"/>
    <w:family w:val="roman"/>
    <w:pitch w:val="variable"/>
  </w:font>
  <w:font w:name="Impac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2"/>
      <w:spacing w:lineRule="auto" w:line="4"/>
      <w:rPr>
        <w:sz w:val="20"/>
      </w:rPr>
    </w:pPr>
    <w:r>
      <w:rPr>
        <w:sz w:val="20"/>
      </w:rPr>
      <mc:AlternateContent>
        <mc:Choice Requires="wps">
          <w:drawing>
            <wp:anchor behindDoc="1" distT="0" distB="0" distL="0" distR="0" simplePos="0" locked="0" layoutInCell="1" allowOverlap="1" relativeHeight="4" wp14:anchorId="16353DE7">
              <wp:simplePos x="0" y="0"/>
              <wp:positionH relativeFrom="page">
                <wp:posOffset>444500</wp:posOffset>
              </wp:positionH>
              <wp:positionV relativeFrom="page">
                <wp:posOffset>10144760</wp:posOffset>
              </wp:positionV>
              <wp:extent cx="2138680" cy="251460"/>
              <wp:effectExtent l="0" t="635" r="635" b="0"/>
              <wp:wrapNone/>
              <wp:docPr id="1" name="Text Box 3"/>
              <a:graphic xmlns:a="http://schemas.openxmlformats.org/drawingml/2006/main">
                <a:graphicData uri="http://schemas.microsoft.com/office/word/2010/wordprocessingShape">
                  <wps:wsp>
                    <wps:cNvSpPr/>
                    <wps:spPr>
                      <a:xfrm>
                        <a:off x="0" y="0"/>
                        <a:ext cx="2138040" cy="250920"/>
                      </a:xfrm>
                      <a:prstGeom prst="rect">
                        <a:avLst/>
                      </a:prstGeom>
                      <a:noFill/>
                      <a:ln>
                        <a:noFill/>
                      </a:ln>
                    </wps:spPr>
                    <wps:style>
                      <a:lnRef idx="0"/>
                      <a:fillRef idx="0"/>
                      <a:effectRef idx="0"/>
                      <a:fontRef idx="minor"/>
                    </wps:style>
                    <wps:txbx>
                      <w:txbxContent>
                        <w:p>
                          <w:pPr>
                            <w:pStyle w:val="Style19"/>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Style19"/>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3pt;height:19.7pt;mso-position-horizontal-relative:page;mso-position-vertical-relative:page" wp14:anchorId="16353DE7">
              <w10:wrap type="square"/>
              <v:fill o:detectmouseclick="t" on="false"/>
              <v:stroke color="#3465a4" joinstyle="round" endcap="flat"/>
              <v:textbox>
                <w:txbxContent>
                  <w:p>
                    <w:pPr>
                      <w:pStyle w:val="Style19"/>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Style19"/>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0" distR="0" simplePos="0" locked="0" layoutInCell="1" allowOverlap="1" relativeHeight="6" wp14:anchorId="437E56F9">
              <wp:simplePos x="0" y="0"/>
              <wp:positionH relativeFrom="page">
                <wp:posOffset>3201670</wp:posOffset>
              </wp:positionH>
              <wp:positionV relativeFrom="page">
                <wp:posOffset>10147935</wp:posOffset>
              </wp:positionV>
              <wp:extent cx="1169670" cy="319405"/>
              <wp:effectExtent l="1270" t="3810" r="3175" b="3175"/>
              <wp:wrapNone/>
              <wp:docPr id="3" name="Text Box 2"/>
              <a:graphic xmlns:a="http://schemas.openxmlformats.org/drawingml/2006/main">
                <a:graphicData uri="http://schemas.microsoft.com/office/word/2010/wordprocessingShape">
                  <wps:wsp>
                    <wps:cNvSpPr/>
                    <wps:spPr>
                      <a:xfrm>
                        <a:off x="0" y="0"/>
                        <a:ext cx="1168920" cy="318600"/>
                      </a:xfrm>
                      <a:prstGeom prst="rect">
                        <a:avLst/>
                      </a:prstGeom>
                      <a:noFill/>
                      <a:ln>
                        <a:noFill/>
                      </a:ln>
                    </wps:spPr>
                    <wps:style>
                      <a:lnRef idx="0"/>
                      <a:fillRef idx="0"/>
                      <a:effectRef idx="0"/>
                      <a:fontRef idx="minor"/>
                    </wps:style>
                    <wps:txbx>
                      <w:txbxContent>
                        <w:p>
                          <w:pPr>
                            <w:pStyle w:val="Style19"/>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Style19"/>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2pt;height:25.05pt;mso-position-horizontal-relative:page;mso-position-vertical-relative:page" wp14:anchorId="437E56F9">
              <w10:wrap type="square"/>
              <v:fill o:detectmouseclick="t" on="false"/>
              <v:stroke color="#3465a4" joinstyle="round" endcap="flat"/>
              <v:textbox>
                <w:txbxContent>
                  <w:p>
                    <w:pPr>
                      <w:pStyle w:val="Style19"/>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Style19"/>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0" distR="0" simplePos="0" locked="0" layoutInCell="1" allowOverlap="1" relativeHeight="8" wp14:anchorId="5D6ACFB3">
              <wp:simplePos x="0" y="0"/>
              <wp:positionH relativeFrom="page">
                <wp:posOffset>5955030</wp:posOffset>
              </wp:positionH>
              <wp:positionV relativeFrom="page">
                <wp:posOffset>10144760</wp:posOffset>
              </wp:positionV>
              <wp:extent cx="1163320" cy="333375"/>
              <wp:effectExtent l="1905" t="635" r="0" b="1905"/>
              <wp:wrapNone/>
              <wp:docPr id="5" name="Text Box 1"/>
              <a:graphic xmlns:a="http://schemas.openxmlformats.org/drawingml/2006/main">
                <a:graphicData uri="http://schemas.microsoft.com/office/word/2010/wordprocessingShape">
                  <wps:wsp>
                    <wps:cNvSpPr/>
                    <wps:spPr>
                      <a:xfrm>
                        <a:off x="0" y="0"/>
                        <a:ext cx="1162800" cy="332640"/>
                      </a:xfrm>
                      <a:prstGeom prst="rect">
                        <a:avLst/>
                      </a:prstGeom>
                      <a:noFill/>
                      <a:ln>
                        <a:noFill/>
                      </a:ln>
                    </wps:spPr>
                    <wps:style>
                      <a:lnRef idx="0"/>
                      <a:fillRef idx="0"/>
                      <a:effectRef idx="0"/>
                      <a:fontRef idx="minor"/>
                    </wps:style>
                    <wps:txbx>
                      <w:txbxContent>
                        <w:p>
                          <w:pPr>
                            <w:pStyle w:val="Style19"/>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Style19"/>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5pt;height:26.15pt;mso-position-horizontal-relative:page;mso-position-vertical-relative:page" wp14:anchorId="5D6ACFB3">
              <w10:wrap type="square"/>
              <v:fill o:detectmouseclick="t" on="false"/>
              <v:stroke color="#3465a4" joinstyle="round" endcap="flat"/>
              <v:textbox>
                <w:txbxContent>
                  <w:p>
                    <w:pPr>
                      <w:pStyle w:val="Style19"/>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Style19"/>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383" w:hanging="284"/>
      </w:pPr>
      <w:rPr>
        <w:sz w:val="18"/>
        <w:spacing w:val="-16"/>
        <w:szCs w:val="18"/>
        <w:w w:val="100"/>
        <w:rFonts w:eastAsia="Calibri" w:cs="Calibri"/>
      </w:rPr>
    </w:lvl>
    <w:lvl w:ilvl="1">
      <w:start w:val="1"/>
      <w:numFmt w:val="bullet"/>
      <w:lvlText w:val=""/>
      <w:lvlJc w:val="left"/>
      <w:pPr>
        <w:tabs>
          <w:tab w:val="num" w:pos="0"/>
        </w:tabs>
        <w:ind w:left="877" w:hanging="284"/>
      </w:pPr>
      <w:rPr>
        <w:rFonts w:ascii="Symbol" w:hAnsi="Symbol" w:cs="Symbol" w:hint="default"/>
      </w:rPr>
    </w:lvl>
    <w:lvl w:ilvl="2">
      <w:start w:val="1"/>
      <w:numFmt w:val="bullet"/>
      <w:lvlText w:val=""/>
      <w:lvlJc w:val="left"/>
      <w:pPr>
        <w:tabs>
          <w:tab w:val="num" w:pos="0"/>
        </w:tabs>
        <w:ind w:left="1374" w:hanging="284"/>
      </w:pPr>
      <w:rPr>
        <w:rFonts w:ascii="Symbol" w:hAnsi="Symbol" w:cs="Symbol" w:hint="default"/>
      </w:rPr>
    </w:lvl>
    <w:lvl w:ilvl="3">
      <w:start w:val="1"/>
      <w:numFmt w:val="bullet"/>
      <w:lvlText w:val=""/>
      <w:lvlJc w:val="left"/>
      <w:pPr>
        <w:tabs>
          <w:tab w:val="num" w:pos="0"/>
        </w:tabs>
        <w:ind w:left="1871" w:hanging="284"/>
      </w:pPr>
      <w:rPr>
        <w:rFonts w:ascii="Symbol" w:hAnsi="Symbol" w:cs="Symbol" w:hint="default"/>
      </w:rPr>
    </w:lvl>
    <w:lvl w:ilvl="4">
      <w:start w:val="1"/>
      <w:numFmt w:val="bullet"/>
      <w:lvlText w:val=""/>
      <w:lvlJc w:val="left"/>
      <w:pPr>
        <w:tabs>
          <w:tab w:val="num" w:pos="0"/>
        </w:tabs>
        <w:ind w:left="2369" w:hanging="284"/>
      </w:pPr>
      <w:rPr>
        <w:rFonts w:ascii="Symbol" w:hAnsi="Symbol" w:cs="Symbol" w:hint="default"/>
      </w:rPr>
    </w:lvl>
    <w:lvl w:ilvl="5">
      <w:start w:val="1"/>
      <w:numFmt w:val="bullet"/>
      <w:lvlText w:val=""/>
      <w:lvlJc w:val="left"/>
      <w:pPr>
        <w:tabs>
          <w:tab w:val="num" w:pos="0"/>
        </w:tabs>
        <w:ind w:left="2866" w:hanging="284"/>
      </w:pPr>
      <w:rPr>
        <w:rFonts w:ascii="Symbol" w:hAnsi="Symbol" w:cs="Symbol" w:hint="default"/>
      </w:rPr>
    </w:lvl>
    <w:lvl w:ilvl="6">
      <w:start w:val="1"/>
      <w:numFmt w:val="bullet"/>
      <w:lvlText w:val=""/>
      <w:lvlJc w:val="left"/>
      <w:pPr>
        <w:tabs>
          <w:tab w:val="num" w:pos="0"/>
        </w:tabs>
        <w:ind w:left="3363" w:hanging="284"/>
      </w:pPr>
      <w:rPr>
        <w:rFonts w:ascii="Symbol" w:hAnsi="Symbol" w:cs="Symbol" w:hint="default"/>
      </w:rPr>
    </w:lvl>
    <w:lvl w:ilvl="7">
      <w:start w:val="1"/>
      <w:numFmt w:val="bullet"/>
      <w:lvlText w:val=""/>
      <w:lvlJc w:val="left"/>
      <w:pPr>
        <w:tabs>
          <w:tab w:val="num" w:pos="0"/>
        </w:tabs>
        <w:ind w:left="3860" w:hanging="284"/>
      </w:pPr>
      <w:rPr>
        <w:rFonts w:ascii="Symbol" w:hAnsi="Symbol" w:cs="Symbol" w:hint="default"/>
      </w:rPr>
    </w:lvl>
    <w:lvl w:ilvl="8">
      <w:start w:val="1"/>
      <w:numFmt w:val="bullet"/>
      <w:lvlText w:val=""/>
      <w:lvlJc w:val="left"/>
      <w:pPr>
        <w:tabs>
          <w:tab w:val="num" w:pos="0"/>
        </w:tabs>
        <w:ind w:left="4358" w:hanging="284"/>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suppressAutoHyphens w:val="true"/>
      <w:bidi w:val="0"/>
      <w:spacing w:before="0" w:after="0"/>
      <w:jc w:val="left"/>
    </w:pPr>
    <w:rPr>
      <w:rFonts w:ascii="Tw Cen MT" w:hAnsi="Tw Cen MT" w:eastAsia="Tw Cen MT" w:cs="Tw Cen MT"/>
      <w:color w:val="auto"/>
      <w:kern w:val="0"/>
      <w:sz w:val="22"/>
      <w:szCs w:val="22"/>
      <w:lang w:val="en-US" w:eastAsia="en-US" w:bidi="ar-SA"/>
    </w:rPr>
  </w:style>
  <w:style w:type="paragraph" w:styleId="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3">
    <w:name w:val="Heading 3"/>
    <w:basedOn w:val="Normal"/>
    <w:uiPriority w:val="1"/>
    <w:qFormat/>
    <w:rsid w:val="00cd6f55"/>
    <w:pPr>
      <w:ind w:left="100" w:hanging="0"/>
      <w:outlineLvl w:val="2"/>
    </w:pPr>
    <w:rPr>
      <w:rFonts w:ascii="Arial" w:hAnsi="Arial" w:eastAsia="Arial" w:cs="Arial"/>
      <w:b/>
      <w:bCs/>
      <w:sz w:val="20"/>
      <w:szCs w:val="20"/>
    </w:rPr>
  </w:style>
  <w:style w:type="paragraph" w:styleId="5">
    <w:name w:val="Heading 5"/>
    <w:basedOn w:val="Normal"/>
    <w:next w:val="Normal"/>
    <w:qFormat/>
    <w:pPr>
      <w:keepNext w:val="true"/>
      <w:keepLines/>
      <w:spacing w:before="40" w:after="0"/>
      <w:outlineLvl w:val="4"/>
    </w:pPr>
    <w:rPr>
      <w:rFonts w:ascii="Cambria" w:hAnsi="Cambria" w:eastAsia="" w:cs="" w:asciiTheme="majorHAnsi" w:cstheme="majorBidi" w:eastAsiaTheme="majorEastAsia" w:hAnsiTheme="majorHAnsi"/>
      <w:color w:val="365F91" w:themeColor="accent1" w:themeShade="bf"/>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Style10">
    <w:name w:val="Гіперпосилання"/>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paragraph" w:styleId="Style11">
    <w:name w:val="Заголовок"/>
    <w:basedOn w:val="Normal"/>
    <w:next w:val="Style12"/>
    <w:qFormat/>
    <w:pPr>
      <w:keepNext w:val="true"/>
      <w:spacing w:before="240" w:after="120"/>
    </w:pPr>
    <w:rPr>
      <w:rFonts w:ascii="Liberation Sans" w:hAnsi="Liberation Sans" w:eastAsia="Noto Sans CJK SC" w:cs="Lohit Devanagari"/>
      <w:sz w:val="28"/>
      <w:szCs w:val="28"/>
    </w:rPr>
  </w:style>
  <w:style w:type="paragraph" w:styleId="Style12">
    <w:name w:val="Body Text"/>
    <w:basedOn w:val="Normal"/>
    <w:link w:val="BodyTextChar"/>
    <w:uiPriority w:val="1"/>
    <w:qFormat/>
    <w:rsid w:val="00cd6f55"/>
    <w:pPr/>
    <w:rPr>
      <w:sz w:val="18"/>
      <w:szCs w:val="18"/>
    </w:rPr>
  </w:style>
  <w:style w:type="paragraph" w:styleId="Style13">
    <w:name w:val="List"/>
    <w:basedOn w:val="Style12"/>
    <w:pPr/>
    <w:rPr>
      <w:rFonts w:cs="Lohit Devanagari"/>
    </w:rPr>
  </w:style>
  <w:style w:type="paragraph" w:styleId="Style14">
    <w:name w:val="Caption"/>
    <w:basedOn w:val="Normal"/>
    <w:qFormat/>
    <w:pPr>
      <w:suppressLineNumbers/>
      <w:spacing w:before="120" w:after="120"/>
    </w:pPr>
    <w:rPr>
      <w:rFonts w:cs="Lohit Devanagari"/>
      <w:i/>
      <w:iCs/>
      <w:sz w:val="24"/>
      <w:szCs w:val="24"/>
    </w:rPr>
  </w:style>
  <w:style w:type="paragraph" w:styleId="Style15">
    <w:name w:val="Покажчик"/>
    <w:basedOn w:val="Normal"/>
    <w:qFormat/>
    <w:pPr>
      <w:suppressLineNumbers/>
    </w:pPr>
    <w:rPr>
      <w:rFonts w:cs="Lohit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Style16">
    <w:name w:val="Верхній і нижній колонтитули"/>
    <w:basedOn w:val="Normal"/>
    <w:qFormat/>
    <w:pPr/>
    <w:rPr/>
  </w:style>
  <w:style w:type="paragraph" w:styleId="Style17">
    <w:name w:val="Header"/>
    <w:basedOn w:val="Normal"/>
    <w:link w:val="HeaderChar"/>
    <w:uiPriority w:val="99"/>
    <w:unhideWhenUsed/>
    <w:rsid w:val="005b3a56"/>
    <w:pPr>
      <w:tabs>
        <w:tab w:val="clear" w:pos="720"/>
        <w:tab w:val="center" w:pos="4513" w:leader="none"/>
        <w:tab w:val="right" w:pos="9026" w:leader="none"/>
      </w:tabs>
    </w:pPr>
    <w:rPr/>
  </w:style>
  <w:style w:type="paragraph" w:styleId="Style18">
    <w:name w:val="Footer"/>
    <w:basedOn w:val="Normal"/>
    <w:link w:val="FooterChar"/>
    <w:uiPriority w:val="99"/>
    <w:unhideWhenUsed/>
    <w:rsid w:val="005b3a56"/>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Style19">
    <w:name w:val="Вміст рамки"/>
    <w:basedOn w:val="Normal"/>
    <w:qFormat/>
    <w:pPr/>
    <w:rPr/>
  </w:style>
  <w:style w:type="paragraph" w:styleId="NIAuthorAddressDetails">
    <w:name w:val="NI Author Address Details"/>
    <w:qFormat/>
    <w:pPr>
      <w:widowControl/>
      <w:suppressAutoHyphens w:val="true"/>
      <w:bidi w:val="0"/>
      <w:spacing w:before="0" w:after="0"/>
      <w:jc w:val="center"/>
    </w:pPr>
    <w:rPr>
      <w:rFonts w:ascii="Times New Roman" w:hAnsi="Times New Roman" w:eastAsia="BatangChe" w:cs="Times New Roman"/>
      <w:i/>
      <w:color w:val="auto"/>
      <w:kern w:val="0"/>
      <w:sz w:val="20"/>
      <w:szCs w:val="20"/>
      <w:lang w:val="en-GB" w:eastAsia="ja-JP" w:bidi="he-IL"/>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hyperlink" Target="mailto:drXXXXXXX@xxxmail.com"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Application>LibreOffice/6.4.7.2$Linux_X86_64 LibreOffice_project/40$Build-2</Application>
  <Pages>2</Pages>
  <Words>705</Words>
  <Characters>4295</Characters>
  <CharactersWithSpaces>4994</CharactersWithSpaces>
  <Paragraphs>36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2021-11-26T09:13:00Z</dcterms:created>
  <dc:creator>mehaboobi shaik</dc:creator>
  <dc:description/>
  <dc:language>uk-UA</dc:language>
  <cp:lastModifiedBy/>
  <dcterms:modified xsi:type="dcterms:W3CDTF">2023-03-31T16:31:23Z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