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687" w:rsidRPr="00280887" w:rsidRDefault="008D1257">
      <w:pPr>
        <w:rPr>
          <w:rFonts w:ascii="Times New Roman" w:hAnsi="Times New Roman" w:cs="Times New Roman"/>
          <w:b/>
          <w:sz w:val="32"/>
        </w:rPr>
      </w:pPr>
      <w:r w:rsidRPr="00280887">
        <w:rPr>
          <w:rFonts w:ascii="Times New Roman" w:hAnsi="Times New Roman" w:cs="Times New Roman"/>
          <w:b/>
          <w:sz w:val="32"/>
        </w:rPr>
        <w:t>The health of the elderly: Anxiety, depression during covid-19 in relation to socio</w:t>
      </w:r>
      <w:r w:rsidR="00096E26" w:rsidRPr="00280887">
        <w:rPr>
          <w:rFonts w:ascii="Times New Roman" w:hAnsi="Times New Roman" w:cs="Times New Roman"/>
          <w:b/>
          <w:sz w:val="32"/>
        </w:rPr>
        <w:t xml:space="preserve"> </w:t>
      </w:r>
      <w:r w:rsidRPr="00280887">
        <w:rPr>
          <w:rFonts w:ascii="Times New Roman" w:hAnsi="Times New Roman" w:cs="Times New Roman"/>
          <w:b/>
          <w:sz w:val="32"/>
        </w:rPr>
        <w:t>demographic factors, Tacna 2022</w:t>
      </w:r>
    </w:p>
    <w:p w:rsidR="008D1257" w:rsidRPr="00280887" w:rsidRDefault="00096E26" w:rsidP="008D1257">
      <w:pPr>
        <w:rPr>
          <w:rFonts w:ascii="Times New Roman" w:hAnsi="Times New Roman" w:cs="Times New Roman"/>
          <w:sz w:val="24"/>
        </w:rPr>
      </w:pPr>
      <w:bookmarkStart w:id="0" w:name="_GoBack"/>
      <w:r w:rsidRPr="00280887">
        <w:rPr>
          <w:rFonts w:ascii="Times New Roman" w:hAnsi="Times New Roman" w:cs="Times New Roman"/>
          <w:sz w:val="24"/>
        </w:rPr>
        <w:t>Elena Cachicatari Vargas</w:t>
      </w:r>
      <w:bookmarkEnd w:id="0"/>
      <w:r w:rsidRPr="00280887">
        <w:rPr>
          <w:rFonts w:ascii="Times New Roman" w:hAnsi="Times New Roman" w:cs="Times New Roman"/>
          <w:sz w:val="24"/>
        </w:rPr>
        <w:t>*</w:t>
      </w:r>
      <w:r w:rsidR="008D1257" w:rsidRPr="00280887">
        <w:rPr>
          <w:rFonts w:ascii="Times New Roman" w:hAnsi="Times New Roman" w:cs="Times New Roman"/>
          <w:sz w:val="24"/>
        </w:rPr>
        <w:t xml:space="preserve"> </w:t>
      </w:r>
    </w:p>
    <w:p w:rsidR="00096E26" w:rsidRDefault="00096E26" w:rsidP="00096E26">
      <w:pPr>
        <w:rPr>
          <w:rFonts w:ascii="Times New Roman" w:hAnsi="Times New Roman" w:cs="Times New Roman"/>
        </w:rPr>
      </w:pPr>
      <w:r w:rsidRPr="00096E26">
        <w:rPr>
          <w:rFonts w:ascii="Times New Roman" w:hAnsi="Times New Roman" w:cs="Times New Roman"/>
        </w:rPr>
        <w:t>Jorge Basadre Grohmann National University</w:t>
      </w:r>
    </w:p>
    <w:p w:rsidR="008D1257" w:rsidRPr="00096E26" w:rsidRDefault="008D1257" w:rsidP="008D1257">
      <w:pPr>
        <w:jc w:val="center"/>
        <w:rPr>
          <w:rFonts w:ascii="Times New Roman" w:hAnsi="Times New Roman" w:cs="Times New Roman"/>
          <w:b/>
          <w:sz w:val="24"/>
        </w:rPr>
      </w:pPr>
      <w:r w:rsidRPr="00096E26">
        <w:rPr>
          <w:rFonts w:ascii="Times New Roman" w:hAnsi="Times New Roman" w:cs="Times New Roman"/>
          <w:b/>
          <w:sz w:val="24"/>
        </w:rPr>
        <w:t xml:space="preserve">Abstract </w:t>
      </w:r>
      <w:r w:rsidR="00096E26" w:rsidRPr="00096E26">
        <w:rPr>
          <w:rFonts w:ascii="Times New Roman" w:hAnsi="Times New Roman" w:cs="Times New Roman"/>
          <w:b/>
          <w:sz w:val="24"/>
        </w:rPr>
        <w:t>(300</w:t>
      </w:r>
      <w:r w:rsidRPr="00096E26">
        <w:rPr>
          <w:rFonts w:ascii="Times New Roman" w:hAnsi="Times New Roman" w:cs="Times New Roman"/>
          <w:b/>
          <w:sz w:val="24"/>
        </w:rPr>
        <w:t xml:space="preserve"> words) </w:t>
      </w:r>
    </w:p>
    <w:p w:rsidR="008D1257" w:rsidRPr="00280887" w:rsidRDefault="008D1257" w:rsidP="008D125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02124"/>
          <w:sz w:val="20"/>
          <w:szCs w:val="24"/>
        </w:rPr>
      </w:pPr>
      <w:r w:rsidRPr="00280887">
        <w:rPr>
          <w:rFonts w:ascii="Times New Roman" w:hAnsi="Times New Roman" w:cs="Times New Roman"/>
          <w:color w:val="202124"/>
          <w:sz w:val="20"/>
          <w:szCs w:val="24"/>
          <w:lang w:val="en"/>
        </w:rPr>
        <w:t>ABSTRACT: The research reviewed the mental health of the elderly and its relationship with socio</w:t>
      </w:r>
      <w:r w:rsidR="00096E26" w:rsidRPr="00280887">
        <w:rPr>
          <w:rFonts w:ascii="Times New Roman" w:hAnsi="Times New Roman" w:cs="Times New Roman"/>
          <w:color w:val="202124"/>
          <w:sz w:val="20"/>
          <w:szCs w:val="24"/>
          <w:lang w:val="en"/>
        </w:rPr>
        <w:t xml:space="preserve"> </w:t>
      </w:r>
      <w:r w:rsidRPr="00280887">
        <w:rPr>
          <w:rFonts w:ascii="Times New Roman" w:hAnsi="Times New Roman" w:cs="Times New Roman"/>
          <w:color w:val="202124"/>
          <w:sz w:val="20"/>
          <w:szCs w:val="24"/>
          <w:lang w:val="en"/>
        </w:rPr>
        <w:t xml:space="preserve">demographic factors on COVID-19 in the Region of Tacna-Peru during the year 2022. A quantitative approach was considered, of a descriptive correlational type, a sample of 389 older adults of 60 years and over, for non-probabilistic convenience. The survey technique was used and as an instrument a questionnaire modified by the authors, research ethics; Authorization was obtained from people with informed consent, obtaining results such as; 56% are women, 85% are between 60 and 79 years old, 73% have between 1 and 5 children. Regarding educational level, 36% have secondary education, and 24% have higher education, 84% live in an urban area and 59% live with 3 or more people. In relation to the </w:t>
      </w:r>
      <w:proofErr w:type="spellStart"/>
      <w:r w:rsidRPr="00280887">
        <w:rPr>
          <w:rFonts w:ascii="Times New Roman" w:hAnsi="Times New Roman" w:cs="Times New Roman"/>
          <w:color w:val="202124"/>
          <w:sz w:val="20"/>
          <w:szCs w:val="24"/>
          <w:lang w:val="en"/>
        </w:rPr>
        <w:t>sociodemographic</w:t>
      </w:r>
      <w:proofErr w:type="spellEnd"/>
      <w:r w:rsidRPr="00280887">
        <w:rPr>
          <w:rFonts w:ascii="Times New Roman" w:hAnsi="Times New Roman" w:cs="Times New Roman"/>
          <w:color w:val="202124"/>
          <w:sz w:val="20"/>
          <w:szCs w:val="24"/>
          <w:lang w:val="en"/>
        </w:rPr>
        <w:t xml:space="preserve"> variables, it was found that women have a greater relationship with anxiety (p&lt;0.01), and that people with fewer years of study have a greater relationship with depression (p&lt;0.01) and the anxiety. Women are more related to anxiety and people with less education are more related to depression (p&lt;0.01) and anxiety (p&lt;0.05).</w:t>
      </w:r>
    </w:p>
    <w:p w:rsidR="008D1257" w:rsidRPr="00096E26" w:rsidRDefault="008D1257" w:rsidP="008D1257">
      <w:pPr>
        <w:jc w:val="both"/>
        <w:rPr>
          <w:rFonts w:ascii="Times New Roman" w:hAnsi="Times New Roman" w:cs="Times New Roman"/>
          <w:sz w:val="24"/>
          <w:szCs w:val="24"/>
        </w:rPr>
      </w:pPr>
      <w:r w:rsidRPr="00096E26">
        <w:rPr>
          <w:rFonts w:ascii="Times New Roman" w:hAnsi="Times New Roman" w:cs="Times New Roman"/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1D36CD9F" wp14:editId="5A7AFC91">
            <wp:simplePos x="0" y="0"/>
            <wp:positionH relativeFrom="column">
              <wp:posOffset>1337310</wp:posOffset>
            </wp:positionH>
            <wp:positionV relativeFrom="paragraph">
              <wp:posOffset>323215</wp:posOffset>
            </wp:positionV>
            <wp:extent cx="3162935" cy="2065655"/>
            <wp:effectExtent l="0" t="0" r="0" b="0"/>
            <wp:wrapSquare wrapText="bothSides"/>
            <wp:docPr id="3" name="Imagen 3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35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1257" w:rsidRPr="00096E26" w:rsidRDefault="008D1257" w:rsidP="008D1257">
      <w:pPr>
        <w:pStyle w:val="MDPI17abstract"/>
        <w:ind w:left="0"/>
        <w:rPr>
          <w:rFonts w:ascii="Times New Roman" w:eastAsia="PMingLiU-ExtB" w:hAnsi="Times New Roman"/>
          <w:color w:val="auto"/>
          <w:lang w:val="es-ES"/>
        </w:rPr>
      </w:pPr>
    </w:p>
    <w:p w:rsidR="008D1257" w:rsidRPr="00096E26" w:rsidRDefault="008D1257" w:rsidP="008D1257">
      <w:pPr>
        <w:pStyle w:val="Heading3"/>
        <w:spacing w:before="74"/>
        <w:rPr>
          <w:rFonts w:ascii="Times New Roman" w:hAnsi="Times New Roman" w:cs="Times New Roman"/>
        </w:rPr>
      </w:pPr>
      <w:r w:rsidRPr="00096E26">
        <w:rPr>
          <w:rFonts w:ascii="Times New Roman" w:hAnsi="Times New Roman" w:cs="Times New Roman"/>
          <w:color w:val="BF5A14"/>
        </w:rPr>
        <w:tab/>
      </w:r>
      <w:r w:rsidRPr="00096E26">
        <w:rPr>
          <w:rFonts w:ascii="Times New Roman" w:hAnsi="Times New Roman" w:cs="Times New Roman"/>
          <w:color w:val="BF5A14"/>
        </w:rPr>
        <w:tab/>
      </w:r>
      <w:r w:rsidRPr="00096E26">
        <w:rPr>
          <w:rFonts w:ascii="Times New Roman" w:hAnsi="Times New Roman" w:cs="Times New Roman"/>
          <w:color w:val="BF5A14"/>
        </w:rPr>
        <w:tab/>
      </w:r>
      <w:r w:rsidRPr="00096E26">
        <w:rPr>
          <w:rFonts w:ascii="Times New Roman" w:hAnsi="Times New Roman" w:cs="Times New Roman"/>
          <w:color w:val="BF5A14"/>
        </w:rPr>
        <w:tab/>
      </w:r>
    </w:p>
    <w:p w:rsidR="008D1257" w:rsidRPr="00096E26" w:rsidRDefault="008D1257" w:rsidP="008D1257">
      <w:pPr>
        <w:pStyle w:val="BodyText"/>
        <w:spacing w:before="2"/>
        <w:rPr>
          <w:rFonts w:ascii="Times New Roman" w:hAnsi="Times New Roman" w:cs="Times New Roman"/>
          <w:b/>
          <w:sz w:val="16"/>
        </w:rPr>
      </w:pPr>
    </w:p>
    <w:p w:rsidR="008D1257" w:rsidRPr="00096E26" w:rsidRDefault="008D1257" w:rsidP="008D1257">
      <w:pPr>
        <w:spacing w:line="204" w:lineRule="exact"/>
        <w:rPr>
          <w:rFonts w:ascii="Times New Roman" w:hAnsi="Times New Roman" w:cs="Times New Roman"/>
          <w:b/>
          <w:color w:val="BF5A14"/>
          <w:sz w:val="20"/>
        </w:rPr>
      </w:pPr>
      <w:r w:rsidRPr="00096E26">
        <w:rPr>
          <w:rFonts w:ascii="Times New Roman" w:hAnsi="Times New Roman" w:cs="Times New Roman"/>
          <w:b/>
          <w:color w:val="BF5A14"/>
          <w:sz w:val="20"/>
        </w:rPr>
        <w:br/>
      </w:r>
      <w:r w:rsidRPr="00096E26">
        <w:rPr>
          <w:rFonts w:ascii="Times New Roman" w:hAnsi="Times New Roman" w:cs="Times New Roman"/>
          <w:b/>
          <w:color w:val="BF5A14"/>
          <w:sz w:val="20"/>
        </w:rPr>
        <w:tab/>
      </w:r>
    </w:p>
    <w:p w:rsidR="008D1257" w:rsidRPr="00096E26" w:rsidRDefault="008D1257" w:rsidP="008D1257">
      <w:pPr>
        <w:spacing w:line="204" w:lineRule="exact"/>
        <w:rPr>
          <w:rFonts w:ascii="Times New Roman" w:hAnsi="Times New Roman" w:cs="Times New Roman"/>
          <w:b/>
          <w:color w:val="BF5A14"/>
          <w:sz w:val="20"/>
        </w:rPr>
      </w:pPr>
      <w:r w:rsidRPr="00096E26">
        <w:rPr>
          <w:rFonts w:ascii="Times New Roman" w:hAnsi="Times New Roman" w:cs="Times New Roman"/>
          <w:b/>
          <w:color w:val="BF5A14"/>
          <w:sz w:val="20"/>
        </w:rPr>
        <w:tab/>
      </w:r>
    </w:p>
    <w:p w:rsidR="008D1257" w:rsidRPr="00096E26" w:rsidRDefault="008D1257" w:rsidP="008D1257">
      <w:pPr>
        <w:spacing w:line="204" w:lineRule="exact"/>
        <w:rPr>
          <w:rFonts w:ascii="Times New Roman" w:hAnsi="Times New Roman" w:cs="Times New Roman"/>
          <w:b/>
          <w:color w:val="BF5A14"/>
          <w:sz w:val="20"/>
        </w:rPr>
      </w:pPr>
    </w:p>
    <w:p w:rsidR="008D1257" w:rsidRPr="00096E26" w:rsidRDefault="008D1257" w:rsidP="008D1257">
      <w:pPr>
        <w:spacing w:line="204" w:lineRule="exact"/>
        <w:rPr>
          <w:rFonts w:ascii="Times New Roman" w:hAnsi="Times New Roman" w:cs="Times New Roman"/>
          <w:b/>
          <w:color w:val="BF5A14"/>
          <w:sz w:val="20"/>
        </w:rPr>
      </w:pPr>
    </w:p>
    <w:p w:rsidR="008D1257" w:rsidRPr="00096E26" w:rsidRDefault="008D1257" w:rsidP="008D1257">
      <w:pPr>
        <w:spacing w:line="204" w:lineRule="exact"/>
        <w:rPr>
          <w:rFonts w:ascii="Times New Roman" w:hAnsi="Times New Roman" w:cs="Times New Roman"/>
          <w:b/>
          <w:color w:val="BF5A14"/>
          <w:sz w:val="20"/>
        </w:rPr>
      </w:pPr>
    </w:p>
    <w:p w:rsidR="008D1257" w:rsidRPr="00096E26" w:rsidRDefault="008D1257" w:rsidP="008D1257">
      <w:pPr>
        <w:spacing w:line="204" w:lineRule="exact"/>
        <w:rPr>
          <w:rFonts w:ascii="Times New Roman" w:hAnsi="Times New Roman" w:cs="Times New Roman"/>
          <w:b/>
          <w:color w:val="BF5A14"/>
          <w:sz w:val="20"/>
        </w:rPr>
      </w:pPr>
    </w:p>
    <w:p w:rsidR="008D1257" w:rsidRPr="00096E26" w:rsidRDefault="008D1257" w:rsidP="008D1257">
      <w:pPr>
        <w:spacing w:line="204" w:lineRule="exact"/>
        <w:rPr>
          <w:rFonts w:ascii="Times New Roman" w:hAnsi="Times New Roman" w:cs="Times New Roman"/>
          <w:b/>
          <w:color w:val="BF5A14"/>
          <w:sz w:val="20"/>
        </w:rPr>
      </w:pPr>
    </w:p>
    <w:p w:rsidR="008D1257" w:rsidRPr="00096E26" w:rsidRDefault="00096E26" w:rsidP="008D1257">
      <w:pPr>
        <w:spacing w:line="204" w:lineRule="exact"/>
        <w:rPr>
          <w:rFonts w:ascii="Times New Roman" w:hAnsi="Times New Roman" w:cs="Times New Roman"/>
          <w:b/>
          <w:color w:val="000000" w:themeColor="text1"/>
          <w:sz w:val="24"/>
        </w:rPr>
      </w:pPr>
      <w:r w:rsidRPr="00096E26">
        <w:rPr>
          <w:rFonts w:ascii="Times New Roman" w:hAnsi="Times New Roman" w:cs="Times New Roman"/>
          <w:b/>
          <w:color w:val="000000" w:themeColor="text1"/>
          <w:sz w:val="24"/>
        </w:rPr>
        <w:t>References</w:t>
      </w:r>
    </w:p>
    <w:p w:rsidR="008D1257" w:rsidRPr="00096E26" w:rsidRDefault="008D1257" w:rsidP="008D1257">
      <w:pPr>
        <w:pStyle w:val="MDPI71References"/>
        <w:ind w:left="780"/>
        <w:rPr>
          <w:rFonts w:ascii="Times New Roman" w:hAnsi="Times New Roman"/>
          <w:sz w:val="20"/>
        </w:rPr>
      </w:pPr>
      <w:r w:rsidRPr="00096E26">
        <w:rPr>
          <w:rFonts w:ascii="Times New Roman" w:hAnsi="Times New Roman"/>
          <w:sz w:val="20"/>
          <w:lang w:val="es"/>
        </w:rPr>
        <w:t xml:space="preserve">Quijano-Escate, R., Rebatta-Acuña, A., Garayar-Peceros, H., Gutiérrez-Flores, K. E., &amp; </w:t>
      </w:r>
      <w:r w:rsidR="00280887" w:rsidRPr="00096E26">
        <w:rPr>
          <w:rFonts w:ascii="Times New Roman" w:hAnsi="Times New Roman"/>
          <w:sz w:val="20"/>
          <w:lang w:val="es"/>
        </w:rPr>
        <w:t>Bendecí</w:t>
      </w:r>
      <w:r w:rsidRPr="00096E26">
        <w:rPr>
          <w:rFonts w:ascii="Times New Roman" w:hAnsi="Times New Roman"/>
          <w:sz w:val="20"/>
          <w:lang w:val="es"/>
        </w:rPr>
        <w:t>-Quispe, G. (2020). Aprendizaje en tiempos de aislamiento social: cursos masivos abiertos en línea sobre COVID-19. Revista Peruana de Medicina Experimental y Salud Pública, 37, 375-377.</w:t>
      </w:r>
    </w:p>
    <w:p w:rsidR="008D1257" w:rsidRPr="00096E26" w:rsidRDefault="008D1257" w:rsidP="008D1257">
      <w:pPr>
        <w:pStyle w:val="MDPI71References"/>
        <w:ind w:left="780"/>
        <w:rPr>
          <w:rFonts w:ascii="Times New Roman" w:hAnsi="Times New Roman"/>
          <w:sz w:val="20"/>
        </w:rPr>
      </w:pPr>
      <w:r w:rsidRPr="00096E26">
        <w:rPr>
          <w:rFonts w:ascii="Times New Roman" w:hAnsi="Times New Roman"/>
          <w:sz w:val="20"/>
          <w:lang w:val="es"/>
        </w:rPr>
        <w:t>Dewi, A., Nurmandi, A., Rochmawati, E., Purnomo, E. P., Rizqi, M. D., Azzahra, A.</w:t>
      </w:r>
      <w:proofErr w:type="gramStart"/>
      <w:r w:rsidRPr="00096E26">
        <w:rPr>
          <w:rFonts w:ascii="Times New Roman" w:hAnsi="Times New Roman"/>
          <w:sz w:val="20"/>
          <w:lang w:val="es"/>
        </w:rPr>
        <w:t>, ...</w:t>
      </w:r>
      <w:proofErr w:type="gramEnd"/>
      <w:r w:rsidRPr="00096E26">
        <w:rPr>
          <w:rFonts w:ascii="Times New Roman" w:hAnsi="Times New Roman"/>
          <w:sz w:val="20"/>
          <w:lang w:val="es"/>
        </w:rPr>
        <w:t xml:space="preserve"> &amp; Dewi, D. T. K. (2020). Respuestas políticas mundiales a la pandemia de COVID-19: adaptación proporcional y experimentación de políticas: un estudio de la variación en la respuesta de las políticas nacionales a la pandemia de COVID-19. Perspectivas sobre la promoción de la salud, 10(4), 359.DOI 10.34172/hpp.2020.54.</w:t>
      </w:r>
    </w:p>
    <w:p w:rsidR="008D1257" w:rsidRPr="00096E26" w:rsidRDefault="008D1257" w:rsidP="008D1257">
      <w:pPr>
        <w:pStyle w:val="MDPI71References"/>
        <w:ind w:left="780"/>
        <w:rPr>
          <w:rFonts w:ascii="Times New Roman" w:hAnsi="Times New Roman"/>
          <w:sz w:val="20"/>
        </w:rPr>
      </w:pPr>
      <w:r w:rsidRPr="00096E26">
        <w:rPr>
          <w:rFonts w:ascii="Times New Roman" w:hAnsi="Times New Roman"/>
          <w:sz w:val="20"/>
          <w:lang w:val="es"/>
        </w:rPr>
        <w:t>Centro Nacional de Estimación, Prevención y Reducción del Riesgo de Desastres (CENEPRES) [11], escenario de riesgo covid19 para la ciudad de Tacna-Perú www. cenepred.gob.pe</w:t>
      </w:r>
    </w:p>
    <w:p w:rsidR="008D1257" w:rsidRPr="00096E26" w:rsidRDefault="008D1257" w:rsidP="008D1257">
      <w:pPr>
        <w:pStyle w:val="MDPI71References"/>
        <w:ind w:left="780"/>
        <w:rPr>
          <w:rFonts w:ascii="Times New Roman" w:hAnsi="Times New Roman"/>
          <w:sz w:val="20"/>
        </w:rPr>
      </w:pPr>
      <w:r w:rsidRPr="00096E26">
        <w:rPr>
          <w:rFonts w:ascii="Times New Roman" w:hAnsi="Times New Roman"/>
          <w:sz w:val="20"/>
          <w:lang w:val="es"/>
        </w:rPr>
        <w:t>Moradi, Y., Mollazadeh, F., Karimi, P., Hosseingholipour, K., &amp; Baghaei, R. (2020). Trastornos psicológicos de los supervivientes a lo largo de la crisis del COVID-19: un estudio cualitativo. BMC psiquiatría, 20(1), 1-8.DOI10.1186/s12888-020-03009-w</w:t>
      </w:r>
    </w:p>
    <w:p w:rsidR="008D1257" w:rsidRPr="00096E26" w:rsidRDefault="008D1257" w:rsidP="008D1257">
      <w:pPr>
        <w:pStyle w:val="MDPI71References"/>
        <w:ind w:left="780"/>
        <w:rPr>
          <w:rFonts w:ascii="Times New Roman" w:hAnsi="Times New Roman"/>
          <w:sz w:val="20"/>
        </w:rPr>
      </w:pPr>
      <w:r w:rsidRPr="00096E26">
        <w:rPr>
          <w:rFonts w:ascii="Times New Roman" w:hAnsi="Times New Roman"/>
          <w:sz w:val="20"/>
          <w:lang w:val="es"/>
        </w:rPr>
        <w:t xml:space="preserve">Plomecka, M., Gobbi, S., Neckels, R., Radzinski, </w:t>
      </w:r>
      <w:r w:rsidR="00280887">
        <w:rPr>
          <w:rFonts w:ascii="Times New Roman" w:hAnsi="Times New Roman"/>
          <w:sz w:val="20"/>
          <w:lang w:val="es"/>
        </w:rPr>
        <w:t>P., Skorko, B., Lazzeri, S., &amp;</w:t>
      </w:r>
      <w:r w:rsidRPr="00096E26">
        <w:rPr>
          <w:rFonts w:ascii="Times New Roman" w:hAnsi="Times New Roman"/>
          <w:sz w:val="20"/>
          <w:lang w:val="es"/>
        </w:rPr>
        <w:t xml:space="preserve"> Strutt, A.M. (2021). Factores asociados a los trastornos psicológicos durante la pandemia de COVID-19: un estudio multinacional online. JMIR salud mental, 8(8), e28736. DOI10.2196/28736</w:t>
      </w:r>
    </w:p>
    <w:p w:rsidR="00280887" w:rsidRDefault="00280887" w:rsidP="008D1257">
      <w:pPr>
        <w:spacing w:line="204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de-DE"/>
        </w:rPr>
      </w:pPr>
    </w:p>
    <w:p w:rsidR="00096E26" w:rsidRPr="00096E26" w:rsidRDefault="00096E26" w:rsidP="008D1257">
      <w:pPr>
        <w:spacing w:line="204" w:lineRule="exact"/>
        <w:rPr>
          <w:rFonts w:ascii="Times New Roman" w:hAnsi="Times New Roman" w:cs="Times New Roman"/>
          <w:b/>
          <w:color w:val="000000" w:themeColor="text1"/>
          <w:sz w:val="24"/>
        </w:rPr>
      </w:pPr>
      <w:r w:rsidRPr="00096E26"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>Biography</w:t>
      </w:r>
    </w:p>
    <w:p w:rsidR="00096E26" w:rsidRPr="00096E26" w:rsidRDefault="00280887" w:rsidP="008D1257">
      <w:pPr>
        <w:spacing w:line="204" w:lineRule="exact"/>
        <w:rPr>
          <w:rFonts w:ascii="Times New Roman" w:hAnsi="Times New Roman" w:cs="Times New Roman"/>
          <w:color w:val="000000" w:themeColor="text1"/>
          <w:sz w:val="20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0"/>
        </w:rPr>
        <w:t>Dr</w:t>
      </w:r>
      <w:r w:rsidR="00096E26" w:rsidRPr="00096E26">
        <w:rPr>
          <w:rFonts w:ascii="Times New Roman" w:hAnsi="Times New Roman" w:cs="Times New Roman"/>
          <w:color w:val="000000" w:themeColor="text1"/>
          <w:sz w:val="20"/>
        </w:rPr>
        <w:t>.</w:t>
      </w:r>
      <w:proofErr w:type="spellEnd"/>
      <w:r w:rsidR="00096E26" w:rsidRPr="00096E26">
        <w:rPr>
          <w:rFonts w:ascii="Times New Roman" w:hAnsi="Times New Roman" w:cs="Times New Roman"/>
          <w:color w:val="000000" w:themeColor="text1"/>
          <w:sz w:val="20"/>
        </w:rPr>
        <w:t xml:space="preserve"> Elena Cachicatari Vargas teacher, researcher in the areas of nursing, administration and management; In recent years, research has been directed towards the health of the elderly, being an important aspect in these times living with the covid and that it is a population at risk by 2030</w:t>
      </w:r>
    </w:p>
    <w:p w:rsidR="008D1257" w:rsidRPr="00096E26" w:rsidRDefault="008D1257" w:rsidP="008D1257">
      <w:pPr>
        <w:spacing w:line="204" w:lineRule="exact"/>
        <w:rPr>
          <w:rFonts w:ascii="Times New Roman" w:hAnsi="Times New Roman" w:cs="Times New Roman"/>
          <w:color w:val="BF5A14"/>
          <w:sz w:val="20"/>
        </w:rPr>
      </w:pPr>
    </w:p>
    <w:p w:rsidR="008D1257" w:rsidRPr="00096E26" w:rsidRDefault="008D1257" w:rsidP="008D1257">
      <w:pPr>
        <w:spacing w:line="204" w:lineRule="exact"/>
        <w:rPr>
          <w:rFonts w:ascii="Times New Roman" w:hAnsi="Times New Roman" w:cs="Times New Roman"/>
          <w:b/>
          <w:color w:val="BF5A14"/>
          <w:sz w:val="20"/>
        </w:rPr>
      </w:pPr>
    </w:p>
    <w:p w:rsidR="008D1257" w:rsidRPr="00096E26" w:rsidRDefault="008D1257" w:rsidP="008D1257">
      <w:pPr>
        <w:spacing w:line="204" w:lineRule="exact"/>
        <w:rPr>
          <w:rFonts w:ascii="Times New Roman" w:hAnsi="Times New Roman" w:cs="Times New Roman"/>
          <w:b/>
          <w:color w:val="BF5A14"/>
          <w:sz w:val="20"/>
        </w:rPr>
      </w:pPr>
    </w:p>
    <w:p w:rsidR="008D1257" w:rsidRPr="00096E26" w:rsidRDefault="008D1257" w:rsidP="008D1257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:rsidR="008D1257" w:rsidRPr="00096E26" w:rsidRDefault="008D1257" w:rsidP="008D1257">
      <w:pPr>
        <w:jc w:val="center"/>
        <w:rPr>
          <w:rFonts w:ascii="Times New Roman" w:hAnsi="Times New Roman" w:cs="Times New Roman"/>
        </w:rPr>
      </w:pPr>
    </w:p>
    <w:p w:rsidR="008D1257" w:rsidRPr="00096E26" w:rsidRDefault="008D1257" w:rsidP="008D1257">
      <w:pPr>
        <w:jc w:val="center"/>
        <w:rPr>
          <w:rFonts w:ascii="Times New Roman" w:hAnsi="Times New Roman" w:cs="Times New Roman"/>
        </w:rPr>
      </w:pPr>
    </w:p>
    <w:sectPr w:rsidR="008D1257" w:rsidRPr="00096E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12E6D"/>
    <w:multiLevelType w:val="hybridMultilevel"/>
    <w:tmpl w:val="89DE7AB4"/>
    <w:lvl w:ilvl="0" w:tplc="F270330A">
      <w:start w:val="1"/>
      <w:numFmt w:val="decimal"/>
      <w:lvlRestart w:val="0"/>
      <w:pStyle w:val="MDPI71References"/>
      <w:lvlText w:val="%1."/>
      <w:lvlJc w:val="left"/>
      <w:pPr>
        <w:ind w:left="4111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5126" w:hanging="360"/>
      </w:pPr>
    </w:lvl>
    <w:lvl w:ilvl="2" w:tplc="0409001B" w:tentative="1">
      <w:start w:val="1"/>
      <w:numFmt w:val="lowerRoman"/>
      <w:lvlText w:val="%3."/>
      <w:lvlJc w:val="right"/>
      <w:pPr>
        <w:ind w:left="5846" w:hanging="180"/>
      </w:pPr>
    </w:lvl>
    <w:lvl w:ilvl="3" w:tplc="0409000F" w:tentative="1">
      <w:start w:val="1"/>
      <w:numFmt w:val="decimal"/>
      <w:lvlText w:val="%4."/>
      <w:lvlJc w:val="left"/>
      <w:pPr>
        <w:ind w:left="6566" w:hanging="360"/>
      </w:pPr>
    </w:lvl>
    <w:lvl w:ilvl="4" w:tplc="04090019" w:tentative="1">
      <w:start w:val="1"/>
      <w:numFmt w:val="lowerLetter"/>
      <w:lvlText w:val="%5."/>
      <w:lvlJc w:val="left"/>
      <w:pPr>
        <w:ind w:left="7286" w:hanging="360"/>
      </w:pPr>
    </w:lvl>
    <w:lvl w:ilvl="5" w:tplc="0409001B" w:tentative="1">
      <w:start w:val="1"/>
      <w:numFmt w:val="lowerRoman"/>
      <w:lvlText w:val="%6."/>
      <w:lvlJc w:val="right"/>
      <w:pPr>
        <w:ind w:left="8006" w:hanging="180"/>
      </w:pPr>
    </w:lvl>
    <w:lvl w:ilvl="6" w:tplc="0409000F" w:tentative="1">
      <w:start w:val="1"/>
      <w:numFmt w:val="decimal"/>
      <w:lvlText w:val="%7."/>
      <w:lvlJc w:val="left"/>
      <w:pPr>
        <w:ind w:left="8726" w:hanging="360"/>
      </w:pPr>
    </w:lvl>
    <w:lvl w:ilvl="7" w:tplc="04090019" w:tentative="1">
      <w:start w:val="1"/>
      <w:numFmt w:val="lowerLetter"/>
      <w:lvlText w:val="%8."/>
      <w:lvlJc w:val="left"/>
      <w:pPr>
        <w:ind w:left="9446" w:hanging="360"/>
      </w:pPr>
    </w:lvl>
    <w:lvl w:ilvl="8" w:tplc="0409001B" w:tentative="1">
      <w:start w:val="1"/>
      <w:numFmt w:val="lowerRoman"/>
      <w:lvlText w:val="%9."/>
      <w:lvlJc w:val="right"/>
      <w:pPr>
        <w:ind w:left="1016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57"/>
    <w:rsid w:val="00096E26"/>
    <w:rsid w:val="00280887"/>
    <w:rsid w:val="008D1257"/>
    <w:rsid w:val="00B5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8D1257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8D1257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D125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D1257"/>
    <w:rPr>
      <w:rFonts w:ascii="Tw Cen MT" w:eastAsia="Tw Cen MT" w:hAnsi="Tw Cen MT" w:cs="Tw Cen MT"/>
      <w:sz w:val="18"/>
      <w:szCs w:val="18"/>
      <w:lang w:val="en-US"/>
    </w:rPr>
  </w:style>
  <w:style w:type="paragraph" w:customStyle="1" w:styleId="MDPI17abstract">
    <w:name w:val="MDPI_1.7_abstract"/>
    <w:next w:val="Normal"/>
    <w:qFormat/>
    <w:rsid w:val="008D1257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/>
    </w:rPr>
  </w:style>
  <w:style w:type="paragraph" w:customStyle="1" w:styleId="MDPI71References">
    <w:name w:val="MDPI_7.1_References"/>
    <w:qFormat/>
    <w:rsid w:val="008D1257"/>
    <w:pPr>
      <w:numPr>
        <w:numId w:val="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8D1257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8D1257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D125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D1257"/>
    <w:rPr>
      <w:rFonts w:ascii="Tw Cen MT" w:eastAsia="Tw Cen MT" w:hAnsi="Tw Cen MT" w:cs="Tw Cen MT"/>
      <w:sz w:val="18"/>
      <w:szCs w:val="18"/>
      <w:lang w:val="en-US"/>
    </w:rPr>
  </w:style>
  <w:style w:type="paragraph" w:customStyle="1" w:styleId="MDPI17abstract">
    <w:name w:val="MDPI_1.7_abstract"/>
    <w:next w:val="Normal"/>
    <w:qFormat/>
    <w:rsid w:val="008D1257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/>
    </w:rPr>
  </w:style>
  <w:style w:type="paragraph" w:customStyle="1" w:styleId="MDPI71References">
    <w:name w:val="MDPI_7.1_References"/>
    <w:qFormat/>
    <w:rsid w:val="008D1257"/>
    <w:pPr>
      <w:numPr>
        <w:numId w:val="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2023-04-03T05:08:00Z</dcterms:created>
  <dcterms:modified xsi:type="dcterms:W3CDTF">2023-04-03T05:31:00Z</dcterms:modified>
</cp:coreProperties>
</file>