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C78AF">
      <w:pPr>
        <w:rPr>
          <w:rFonts w:ascii="Times New Roman" w:hAnsi="Times New Roman" w:cs="Times New Roman"/>
          <w:b/>
          <w:i/>
          <w:sz w:val="32"/>
        </w:rPr>
      </w:pPr>
      <w:r w:rsidRPr="00EC78AF">
        <w:rPr>
          <w:rFonts w:ascii="Times New Roman" w:hAnsi="Times New Roman" w:cs="Times New Roman"/>
          <w:b/>
          <w:sz w:val="32"/>
        </w:rPr>
        <w:t xml:space="preserve">Role of </w:t>
      </w:r>
      <w:proofErr w:type="spellStart"/>
      <w:r w:rsidRPr="00EC78AF">
        <w:rPr>
          <w:rFonts w:ascii="Times New Roman" w:hAnsi="Times New Roman" w:cs="Times New Roman"/>
          <w:b/>
          <w:sz w:val="32"/>
        </w:rPr>
        <w:t>nucleophosmin</w:t>
      </w:r>
      <w:proofErr w:type="spellEnd"/>
      <w:r w:rsidRPr="00EC78AF">
        <w:rPr>
          <w:rFonts w:ascii="Times New Roman" w:hAnsi="Times New Roman" w:cs="Times New Roman"/>
          <w:b/>
          <w:sz w:val="32"/>
        </w:rPr>
        <w:t xml:space="preserve"> localization in apoptosis induction in KG-1a cells after treatment with active compound from </w:t>
      </w:r>
      <w:r w:rsidRPr="00EC78AF">
        <w:rPr>
          <w:rFonts w:ascii="Times New Roman" w:hAnsi="Times New Roman" w:cs="Times New Roman"/>
          <w:b/>
          <w:i/>
          <w:sz w:val="32"/>
        </w:rPr>
        <w:t xml:space="preserve">Curcuma </w:t>
      </w:r>
      <w:proofErr w:type="spellStart"/>
      <w:r w:rsidRPr="00EC78AF">
        <w:rPr>
          <w:rFonts w:ascii="Times New Roman" w:hAnsi="Times New Roman" w:cs="Times New Roman"/>
          <w:b/>
          <w:i/>
          <w:sz w:val="32"/>
        </w:rPr>
        <w:t>comosa</w:t>
      </w:r>
      <w:proofErr w:type="spellEnd"/>
    </w:p>
    <w:p w:rsidR="00EC78AF" w:rsidRDefault="00EC78AF">
      <w:pPr>
        <w:rPr>
          <w:rFonts w:ascii="Times New Roman" w:hAnsi="Times New Roman" w:cs="Times New Roman"/>
          <w:sz w:val="24"/>
        </w:rPr>
      </w:pPr>
      <w:proofErr w:type="spellStart"/>
      <w:r w:rsidRPr="00EC78AF">
        <w:rPr>
          <w:rFonts w:ascii="Times New Roman" w:hAnsi="Times New Roman" w:cs="Times New Roman"/>
          <w:sz w:val="24"/>
        </w:rPr>
        <w:t>Natsima</w:t>
      </w:r>
      <w:proofErr w:type="spellEnd"/>
      <w:r w:rsidRPr="00EC78AF">
        <w:rPr>
          <w:rFonts w:ascii="Times New Roman" w:hAnsi="Times New Roman" w:cs="Times New Roman"/>
          <w:sz w:val="24"/>
        </w:rPr>
        <w:t xml:space="preserve"> </w:t>
      </w:r>
      <w:proofErr w:type="spellStart"/>
      <w:r w:rsidRPr="00EC78AF">
        <w:rPr>
          <w:rFonts w:ascii="Times New Roman" w:hAnsi="Times New Roman" w:cs="Times New Roman"/>
          <w:sz w:val="24"/>
        </w:rPr>
        <w:t>Viriyaadhammaa</w:t>
      </w:r>
      <w:proofErr w:type="spellEnd"/>
    </w:p>
    <w:p w:rsidR="00EC78AF" w:rsidRPr="00EC78AF" w:rsidRDefault="00EC78AF">
      <w:pPr>
        <w:rPr>
          <w:rFonts w:ascii="Times New Roman" w:hAnsi="Times New Roman" w:cs="Times New Roman"/>
        </w:rPr>
      </w:pPr>
      <w:r w:rsidRPr="00EC78AF">
        <w:rPr>
          <w:rFonts w:ascii="Times New Roman" w:hAnsi="Times New Roman" w:cs="Times New Roman"/>
        </w:rPr>
        <w:t>Chiang Mai University, Thailand</w:t>
      </w:r>
    </w:p>
    <w:p w:rsidR="00EC78AF" w:rsidRPr="00EC78AF" w:rsidRDefault="00EC78AF" w:rsidP="00EC78AF">
      <w:pPr>
        <w:jc w:val="center"/>
        <w:rPr>
          <w:rFonts w:ascii="Times New Roman" w:hAnsi="Times New Roman" w:cs="Times New Roman"/>
          <w:b/>
          <w:sz w:val="24"/>
        </w:rPr>
      </w:pPr>
      <w:r w:rsidRPr="00EC78AF">
        <w:rPr>
          <w:rFonts w:ascii="Times New Roman" w:hAnsi="Times New Roman" w:cs="Times New Roman"/>
          <w:b/>
          <w:sz w:val="24"/>
        </w:rPr>
        <w:t>Abstract</w:t>
      </w:r>
    </w:p>
    <w:p w:rsidR="00EC78AF" w:rsidRDefault="00EC78AF" w:rsidP="00EC78AF">
      <w:pPr>
        <w:jc w:val="both"/>
        <w:rPr>
          <w:rFonts w:ascii="Times New Roman" w:hAnsi="Times New Roman" w:cs="Times New Roman"/>
          <w:sz w:val="20"/>
          <w:szCs w:val="21"/>
        </w:rPr>
      </w:pPr>
      <w:r w:rsidRPr="00EC78AF">
        <w:rPr>
          <w:rFonts w:ascii="Times New Roman" w:hAnsi="Times New Roman" w:cs="Times New Roman"/>
          <w:i/>
          <w:iCs/>
          <w:sz w:val="20"/>
          <w:szCs w:val="21"/>
        </w:rPr>
        <w:t xml:space="preserve">Curcuma </w:t>
      </w:r>
      <w:proofErr w:type="spellStart"/>
      <w:r w:rsidRPr="00EC78AF">
        <w:rPr>
          <w:rFonts w:ascii="Times New Roman" w:hAnsi="Times New Roman" w:cs="Times New Roman"/>
          <w:i/>
          <w:iCs/>
          <w:sz w:val="20"/>
          <w:szCs w:val="21"/>
        </w:rPr>
        <w:t>comosa</w:t>
      </w:r>
      <w:proofErr w:type="spellEnd"/>
      <w:r>
        <w:rPr>
          <w:rFonts w:ascii="Times New Roman" w:hAnsi="Times New Roman" w:cs="Times New Roman"/>
          <w:sz w:val="20"/>
          <w:szCs w:val="21"/>
        </w:rPr>
        <w:t xml:space="preserve"> </w:t>
      </w:r>
      <w:proofErr w:type="spellStart"/>
      <w:r>
        <w:rPr>
          <w:rFonts w:ascii="Times New Roman" w:hAnsi="Times New Roman" w:cs="Times New Roman"/>
          <w:sz w:val="20"/>
          <w:szCs w:val="21"/>
        </w:rPr>
        <w:t>Roxb</w:t>
      </w:r>
      <w:proofErr w:type="spellEnd"/>
      <w:r>
        <w:rPr>
          <w:rFonts w:ascii="Times New Roman" w:hAnsi="Times New Roman" w:cs="Times New Roman"/>
          <w:sz w:val="20"/>
          <w:szCs w:val="21"/>
        </w:rPr>
        <w:t xml:space="preserve"> </w:t>
      </w:r>
      <w:r w:rsidRPr="00EC78AF">
        <w:rPr>
          <w:rFonts w:ascii="Times New Roman" w:hAnsi="Times New Roman" w:cs="Times New Roman"/>
          <w:sz w:val="20"/>
          <w:szCs w:val="21"/>
        </w:rPr>
        <w:t xml:space="preserve">generally used as Thai traditional medication for unpleasant symptoms in women during menstrual period. The main active compound was obtained from its rhizomes and named </w:t>
      </w:r>
      <w:proofErr w:type="spellStart"/>
      <w:r w:rsidRPr="00EC78AF">
        <w:rPr>
          <w:rFonts w:ascii="Times New Roman" w:hAnsi="Times New Roman" w:cs="Times New Roman"/>
          <w:sz w:val="20"/>
          <w:szCs w:val="21"/>
        </w:rPr>
        <w:t>diarylheptanoids</w:t>
      </w:r>
      <w:proofErr w:type="spellEnd"/>
      <w:r w:rsidRPr="00EC78AF">
        <w:rPr>
          <w:rFonts w:ascii="Times New Roman" w:hAnsi="Times New Roman" w:cs="Times New Roman"/>
          <w:sz w:val="20"/>
          <w:szCs w:val="21"/>
        </w:rPr>
        <w:t xml:space="preserve"> 7-(3</w:t>
      </w:r>
      <w:proofErr w:type="gramStart"/>
      <w:r w:rsidRPr="00EC78AF">
        <w:rPr>
          <w:rFonts w:ascii="Times New Roman" w:hAnsi="Times New Roman" w:cs="Times New Roman"/>
          <w:sz w:val="20"/>
          <w:szCs w:val="21"/>
        </w:rPr>
        <w:t>,4</w:t>
      </w:r>
      <w:proofErr w:type="gramEnd"/>
      <w:r w:rsidRPr="00EC78AF">
        <w:rPr>
          <w:rFonts w:ascii="Times New Roman" w:hAnsi="Times New Roman" w:cs="Times New Roman"/>
          <w:sz w:val="20"/>
          <w:szCs w:val="21"/>
        </w:rPr>
        <w:t>-dihydroxyphenyl)-5-hydroxy-1-phenyl-(1</w:t>
      </w:r>
      <w:r w:rsidRPr="00EC78AF">
        <w:rPr>
          <w:rFonts w:ascii="Times New Roman" w:hAnsi="Times New Roman" w:cs="Times New Roman"/>
          <w:i/>
          <w:iCs/>
          <w:sz w:val="20"/>
          <w:szCs w:val="21"/>
        </w:rPr>
        <w:t>E</w:t>
      </w:r>
      <w:r w:rsidRPr="00EC78AF">
        <w:rPr>
          <w:rFonts w:ascii="Times New Roman" w:hAnsi="Times New Roman" w:cs="Times New Roman"/>
          <w:sz w:val="20"/>
          <w:szCs w:val="21"/>
        </w:rPr>
        <w:t>)-1-heptene or compound 1. Compound 1 possessed antioxidant, anti-inflammation</w:t>
      </w:r>
      <w:r>
        <w:rPr>
          <w:rFonts w:ascii="Times New Roman" w:hAnsi="Times New Roman" w:cs="Times New Roman"/>
          <w:sz w:val="20"/>
          <w:szCs w:val="21"/>
        </w:rPr>
        <w:t xml:space="preserve"> and</w:t>
      </w:r>
      <w:r w:rsidRPr="00EC78AF">
        <w:rPr>
          <w:rFonts w:ascii="Times New Roman" w:hAnsi="Times New Roman" w:cs="Times New Roman"/>
          <w:sz w:val="20"/>
          <w:szCs w:val="21"/>
        </w:rPr>
        <w:t xml:space="preserve"> anti-cancer properties, particularly in human leukemic cells without toxicities to normal cells. It can decrease hallmark protein controlling cell proliferation and induce cell cycle arrested. However, the mechanism of action was not elucidated. This study aim</w:t>
      </w:r>
      <w:bookmarkStart w:id="0" w:name="_GoBack"/>
      <w:bookmarkEnd w:id="0"/>
      <w:r w:rsidRPr="00EC78AF">
        <w:rPr>
          <w:rFonts w:ascii="Times New Roman" w:hAnsi="Times New Roman" w:cs="Times New Roman"/>
          <w:sz w:val="20"/>
          <w:szCs w:val="21"/>
        </w:rPr>
        <w:t xml:space="preserve">s to exhibit the activity of this potent compound </w:t>
      </w:r>
      <w:r w:rsidRPr="00EC78AF">
        <w:rPr>
          <w:rFonts w:ascii="Times New Roman" w:hAnsi="Times New Roman" w:cs="Times New Roman"/>
          <w:i/>
          <w:sz w:val="20"/>
          <w:szCs w:val="21"/>
        </w:rPr>
        <w:t>via</w:t>
      </w:r>
      <w:r w:rsidRPr="00EC78AF">
        <w:rPr>
          <w:rFonts w:ascii="Times New Roman" w:hAnsi="Times New Roman" w:cs="Times New Roman"/>
          <w:sz w:val="20"/>
          <w:szCs w:val="21"/>
        </w:rPr>
        <w:t xml:space="preserve"> </w:t>
      </w:r>
      <w:proofErr w:type="spellStart"/>
      <w:r w:rsidRPr="00EC78AF">
        <w:rPr>
          <w:rFonts w:ascii="Times New Roman" w:hAnsi="Times New Roman" w:cs="Times New Roman"/>
          <w:sz w:val="20"/>
          <w:szCs w:val="21"/>
        </w:rPr>
        <w:t>Nucleophosmin</w:t>
      </w:r>
      <w:proofErr w:type="spellEnd"/>
      <w:r w:rsidRPr="00EC78AF">
        <w:rPr>
          <w:rFonts w:ascii="Times New Roman" w:hAnsi="Times New Roman" w:cs="Times New Roman"/>
          <w:sz w:val="20"/>
          <w:szCs w:val="21"/>
        </w:rPr>
        <w:t xml:space="preserve"> </w:t>
      </w:r>
      <w:r w:rsidRPr="00EC78AF">
        <w:rPr>
          <w:rFonts w:ascii="Times New Roman" w:hAnsi="Times New Roman" w:cs="Times New Roman"/>
          <w:sz w:val="20"/>
          <w:szCs w:val="21"/>
        </w:rPr>
        <w:t xml:space="preserve">(NPM) protein localization affected cell death. NPM is </w:t>
      </w:r>
      <w:proofErr w:type="spellStart"/>
      <w:r w:rsidRPr="00EC78AF">
        <w:rPr>
          <w:rFonts w:ascii="Times New Roman" w:hAnsi="Times New Roman" w:cs="Times New Roman"/>
          <w:sz w:val="20"/>
          <w:szCs w:val="21"/>
        </w:rPr>
        <w:t>nucleolar</w:t>
      </w:r>
      <w:proofErr w:type="spellEnd"/>
      <w:r w:rsidRPr="00EC78AF">
        <w:rPr>
          <w:rFonts w:ascii="Times New Roman" w:hAnsi="Times New Roman" w:cs="Times New Roman"/>
          <w:sz w:val="20"/>
          <w:szCs w:val="21"/>
        </w:rPr>
        <w:t xml:space="preserve"> </w:t>
      </w:r>
      <w:proofErr w:type="spellStart"/>
      <w:r w:rsidRPr="00EC78AF">
        <w:rPr>
          <w:rFonts w:ascii="Times New Roman" w:hAnsi="Times New Roman" w:cs="Times New Roman"/>
          <w:sz w:val="20"/>
          <w:szCs w:val="21"/>
        </w:rPr>
        <w:t>phosphoprotein</w:t>
      </w:r>
      <w:proofErr w:type="spellEnd"/>
      <w:r w:rsidRPr="00EC78AF">
        <w:rPr>
          <w:rFonts w:ascii="Times New Roman" w:hAnsi="Times New Roman" w:cs="Times New Roman"/>
          <w:sz w:val="20"/>
          <w:szCs w:val="21"/>
        </w:rPr>
        <w:t xml:space="preserve"> shuttle between nucleus and cytoplasm. It can interact with various </w:t>
      </w:r>
      <w:r w:rsidRPr="00EC78AF">
        <w:rPr>
          <w:rFonts w:ascii="Times New Roman" w:hAnsi="Times New Roman" w:cs="Times New Roman"/>
          <w:sz w:val="20"/>
          <w:szCs w:val="21"/>
        </w:rPr>
        <w:t>proteins</w:t>
      </w:r>
      <w:r w:rsidRPr="00EC78AF">
        <w:rPr>
          <w:rFonts w:ascii="Times New Roman" w:hAnsi="Times New Roman" w:cs="Times New Roman"/>
          <w:sz w:val="20"/>
          <w:szCs w:val="21"/>
        </w:rPr>
        <w:t xml:space="preserve"> due to its domain variability. Previous study showed that NPM directly interact with p53 and activated p53 function. In this study, we showed that compound 1 can modify the translocation of NPM and enhance p53 and caspase-3 expressions. These proteins control cell cycle progression and cell apoptosis induction. This study demonstrated that compound 1 is novel agent to induce cell death through NPM localization.</w:t>
      </w:r>
    </w:p>
    <w:p w:rsidR="00EC78AF" w:rsidRPr="00EC78AF" w:rsidRDefault="00EC78AF" w:rsidP="00EC78AF">
      <w:pPr>
        <w:rPr>
          <w:rFonts w:ascii="Times New Roman" w:hAnsi="Times New Roman" w:cs="Times New Roman"/>
          <w:b/>
          <w:sz w:val="24"/>
        </w:rPr>
      </w:pPr>
      <w:r w:rsidRPr="00EC78AF">
        <w:rPr>
          <w:rFonts w:ascii="Times New Roman" w:hAnsi="Times New Roman" w:cs="Times New Roman"/>
          <w:b/>
          <w:sz w:val="24"/>
        </w:rPr>
        <w:t>Biography</w:t>
      </w:r>
    </w:p>
    <w:p w:rsidR="00EC78AF" w:rsidRPr="00EC78AF" w:rsidRDefault="00EC78AF" w:rsidP="00EC78AF">
      <w:pPr>
        <w:jc w:val="both"/>
        <w:rPr>
          <w:rFonts w:ascii="Times New Roman" w:hAnsi="Times New Roman" w:cs="Times New Roman"/>
          <w:sz w:val="20"/>
        </w:rPr>
      </w:pPr>
      <w:proofErr w:type="spellStart"/>
      <w:r w:rsidRPr="00EC78AF">
        <w:rPr>
          <w:rFonts w:ascii="Times New Roman" w:hAnsi="Times New Roman" w:cs="Times New Roman"/>
          <w:sz w:val="20"/>
        </w:rPr>
        <w:t>Natsima</w:t>
      </w:r>
      <w:proofErr w:type="spellEnd"/>
      <w:r w:rsidRPr="00EC78AF">
        <w:rPr>
          <w:rFonts w:ascii="Times New Roman" w:hAnsi="Times New Roman" w:cs="Times New Roman"/>
          <w:sz w:val="20"/>
        </w:rPr>
        <w:t xml:space="preserve"> </w:t>
      </w:r>
      <w:proofErr w:type="spellStart"/>
      <w:r w:rsidRPr="00EC78AF">
        <w:rPr>
          <w:rFonts w:ascii="Times New Roman" w:hAnsi="Times New Roman" w:cs="Times New Roman"/>
          <w:sz w:val="20"/>
        </w:rPr>
        <w:t>Viriyaadhammaa</w:t>
      </w:r>
      <w:proofErr w:type="spellEnd"/>
      <w:r w:rsidRPr="00EC78AF">
        <w:rPr>
          <w:rFonts w:ascii="Times New Roman" w:hAnsi="Times New Roman" w:cs="Times New Roman"/>
          <w:sz w:val="20"/>
        </w:rPr>
        <w:t xml:space="preserve"> received her Bachelor of Science (Medical Technology, first-class honors) from Faculty of Associated Medical Sciences, Chiang Mai University of Thailand in 2017. After graduation, she continued with her PhD in Biomedical Sciences program at this faculty. She has expertise in compound purification from traditional Thai plants. She and her colleague identify and determine plant extracts abilities with several of molecular techniques. She interested in using </w:t>
      </w:r>
      <w:r w:rsidRPr="00EC78AF">
        <w:rPr>
          <w:rFonts w:ascii="Times New Roman" w:hAnsi="Times New Roman" w:cs="Times New Roman"/>
          <w:i/>
          <w:sz w:val="20"/>
        </w:rPr>
        <w:t xml:space="preserve">Curcuma </w:t>
      </w:r>
      <w:proofErr w:type="spellStart"/>
      <w:r w:rsidRPr="00EC78AF">
        <w:rPr>
          <w:rFonts w:ascii="Times New Roman" w:hAnsi="Times New Roman" w:cs="Times New Roman"/>
          <w:i/>
          <w:sz w:val="20"/>
        </w:rPr>
        <w:t>comosa</w:t>
      </w:r>
      <w:proofErr w:type="spellEnd"/>
      <w:r>
        <w:rPr>
          <w:rFonts w:ascii="Times New Roman" w:hAnsi="Times New Roman" w:cs="Times New Roman"/>
          <w:sz w:val="20"/>
        </w:rPr>
        <w:t xml:space="preserve"> </w:t>
      </w:r>
      <w:proofErr w:type="spellStart"/>
      <w:r>
        <w:rPr>
          <w:rFonts w:ascii="Times New Roman" w:hAnsi="Times New Roman" w:cs="Times New Roman"/>
          <w:sz w:val="20"/>
        </w:rPr>
        <w:t>Roxb</w:t>
      </w:r>
      <w:proofErr w:type="spellEnd"/>
      <w:r w:rsidRPr="00EC78AF">
        <w:rPr>
          <w:rFonts w:ascii="Times New Roman" w:hAnsi="Times New Roman" w:cs="Times New Roman"/>
          <w:sz w:val="20"/>
        </w:rPr>
        <w:t xml:space="preserve"> as an alternative medicine for leukemia treatment. After years of resear</w:t>
      </w:r>
      <w:r>
        <w:rPr>
          <w:rFonts w:ascii="Times New Roman" w:hAnsi="Times New Roman" w:cs="Times New Roman"/>
          <w:sz w:val="20"/>
        </w:rPr>
        <w:t>ch, evaluation and experiments s</w:t>
      </w:r>
      <w:r w:rsidRPr="00EC78AF">
        <w:rPr>
          <w:rFonts w:ascii="Times New Roman" w:hAnsi="Times New Roman" w:cs="Times New Roman"/>
          <w:sz w:val="20"/>
        </w:rPr>
        <w:t>he discovered novel properties of this plant.</w:t>
      </w:r>
    </w:p>
    <w:sectPr w:rsidR="00EC78AF" w:rsidRPr="00EC78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8AF"/>
    <w:rsid w:val="0032354D"/>
    <w:rsid w:val="00474203"/>
    <w:rsid w:val="00535872"/>
    <w:rsid w:val="00924B33"/>
    <w:rsid w:val="00EC7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2023-03-25T06:03:00Z</dcterms:created>
  <dcterms:modified xsi:type="dcterms:W3CDTF">2023-03-25T06:09:00Z</dcterms:modified>
</cp:coreProperties>
</file>