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2B2803" w14:textId="3E571DAD" w:rsidR="0062066D" w:rsidRDefault="0062066D" w:rsidP="000534A1">
      <w:pPr>
        <w:pStyle w:val="Heading1"/>
        <w:spacing w:before="170"/>
        <w:ind w:left="0"/>
        <w:jc w:val="both"/>
        <w:rPr>
          <w:color w:val="337AB7"/>
        </w:rPr>
      </w:pPr>
      <w:r>
        <w:rPr>
          <w:noProof/>
          <w:lang w:val="en-IN" w:eastAsia="en-IN"/>
        </w:rPr>
        <w:drawing>
          <wp:anchor distT="0" distB="0" distL="0" distR="0" simplePos="0" relativeHeight="251659776" behindDoc="0" locked="0" layoutInCell="1" allowOverlap="1" wp14:anchorId="7E1C82DA" wp14:editId="1AE5B4C9">
            <wp:simplePos x="0" y="0"/>
            <wp:positionH relativeFrom="page">
              <wp:posOffset>3790950</wp:posOffset>
            </wp:positionH>
            <wp:positionV relativeFrom="paragraph">
              <wp:posOffset>460375</wp:posOffset>
            </wp:positionV>
            <wp:extent cx="3576955" cy="1708150"/>
            <wp:effectExtent l="0" t="0" r="4445" b="6350"/>
            <wp:wrapNone/>
            <wp:docPr id="3"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8" cstate="print"/>
                    <a:stretch>
                      <a:fillRect/>
                    </a:stretch>
                  </pic:blipFill>
                  <pic:spPr>
                    <a:xfrm>
                      <a:off x="0" y="0"/>
                      <a:ext cx="3577428" cy="1708376"/>
                    </a:xfrm>
                    <a:prstGeom prst="rect">
                      <a:avLst/>
                    </a:prstGeom>
                  </pic:spPr>
                </pic:pic>
              </a:graphicData>
            </a:graphic>
            <wp14:sizeRelV relativeFrom="margin">
              <wp14:pctHeight>0</wp14:pctHeight>
            </wp14:sizeRelV>
          </wp:anchor>
        </w:drawing>
      </w:r>
      <w:r w:rsidRPr="0062066D">
        <w:rPr>
          <w:color w:val="337AB7"/>
        </w:rPr>
        <w:t>Assessment of Liver Fibrosis with Transient Elastography in NAFLD Patients</w:t>
      </w:r>
    </w:p>
    <w:p w14:paraId="546B37C3" w14:textId="50328CF9" w:rsidR="0062066D" w:rsidRDefault="0062066D" w:rsidP="0062066D">
      <w:pPr>
        <w:pStyle w:val="BodyText"/>
        <w:spacing w:before="73" w:line="198" w:lineRule="exact"/>
        <w:ind w:right="5987"/>
        <w:rPr>
          <w:rFonts w:ascii="Arial"/>
        </w:rPr>
      </w:pPr>
      <w:bookmarkStart w:id="0" w:name="_GoBack"/>
      <w:r w:rsidRPr="00640740">
        <w:rPr>
          <w:rFonts w:ascii="Arial"/>
          <w:b/>
        </w:rPr>
        <w:t>Dr. Lajpat Rai</w:t>
      </w:r>
      <w:bookmarkEnd w:id="0"/>
      <w:r>
        <w:rPr>
          <w:rFonts w:ascii="Arial"/>
        </w:rPr>
        <w:t>, Jinnah Postgraduate Medical Center, Karachi, Pakistan</w:t>
      </w:r>
    </w:p>
    <w:p w14:paraId="38DB5D07" w14:textId="533C63C6" w:rsidR="0062066D" w:rsidRDefault="0062066D" w:rsidP="0062066D">
      <w:pPr>
        <w:pStyle w:val="BodyText"/>
        <w:spacing w:before="73" w:line="198" w:lineRule="exact"/>
        <w:ind w:right="5987"/>
        <w:rPr>
          <w:rFonts w:ascii="Arial"/>
        </w:rPr>
      </w:pPr>
      <w:r>
        <w:rPr>
          <w:rFonts w:ascii="Arial"/>
        </w:rPr>
        <w:t xml:space="preserve">Dr. </w:t>
      </w:r>
      <w:proofErr w:type="spellStart"/>
      <w:r>
        <w:rPr>
          <w:rFonts w:ascii="Arial"/>
        </w:rPr>
        <w:t>Nazish</w:t>
      </w:r>
      <w:proofErr w:type="spellEnd"/>
      <w:r>
        <w:rPr>
          <w:rFonts w:ascii="Arial"/>
        </w:rPr>
        <w:t xml:space="preserve"> Butt, Jinnah Postgraduate Medical Center, Karachi, Pakistan</w:t>
      </w:r>
    </w:p>
    <w:p w14:paraId="5498D7E3" w14:textId="71FE4B89" w:rsidR="0062066D" w:rsidRDefault="0062066D" w:rsidP="0062066D">
      <w:pPr>
        <w:pStyle w:val="BodyText"/>
        <w:spacing w:before="73" w:line="198" w:lineRule="exact"/>
        <w:ind w:right="5987"/>
        <w:rPr>
          <w:rFonts w:ascii="Arial"/>
        </w:rPr>
      </w:pPr>
      <w:r>
        <w:rPr>
          <w:rFonts w:ascii="Arial"/>
        </w:rPr>
        <w:t>Dr. Ali Akbar, Jinnah Postgraduate Medical Center, Karachi, Pakistan</w:t>
      </w:r>
    </w:p>
    <w:p w14:paraId="069EF830" w14:textId="01DE7D36" w:rsidR="0062066D" w:rsidRDefault="0062066D" w:rsidP="0062066D">
      <w:pPr>
        <w:pStyle w:val="BodyText"/>
        <w:spacing w:before="73" w:line="198" w:lineRule="exact"/>
        <w:ind w:right="5987"/>
        <w:rPr>
          <w:rFonts w:ascii="Arial"/>
        </w:rPr>
      </w:pPr>
      <w:r>
        <w:rPr>
          <w:rFonts w:ascii="Arial"/>
        </w:rPr>
        <w:t xml:space="preserve">Dr. </w:t>
      </w:r>
      <w:proofErr w:type="spellStart"/>
      <w:r>
        <w:rPr>
          <w:rFonts w:ascii="Arial"/>
        </w:rPr>
        <w:t>Hanisha</w:t>
      </w:r>
      <w:proofErr w:type="spellEnd"/>
      <w:r>
        <w:rPr>
          <w:rFonts w:ascii="Arial"/>
        </w:rPr>
        <w:t xml:space="preserve"> </w:t>
      </w:r>
      <w:proofErr w:type="spellStart"/>
      <w:r>
        <w:rPr>
          <w:rFonts w:ascii="Arial"/>
        </w:rPr>
        <w:t>Khemani</w:t>
      </w:r>
      <w:proofErr w:type="spellEnd"/>
      <w:r>
        <w:rPr>
          <w:rFonts w:ascii="Arial"/>
        </w:rPr>
        <w:t>, Jinnah Postgraduate Medical Center, Karachi, Pakistan</w:t>
      </w:r>
    </w:p>
    <w:p w14:paraId="136B9515" w14:textId="033CF53D" w:rsidR="0062066D" w:rsidRPr="0062066D" w:rsidRDefault="0062066D" w:rsidP="0062066D">
      <w:pPr>
        <w:pStyle w:val="BodyText"/>
        <w:spacing w:before="73" w:line="198" w:lineRule="exact"/>
        <w:ind w:right="5987"/>
        <w:rPr>
          <w:rFonts w:ascii="Arial"/>
        </w:rPr>
        <w:sectPr w:rsidR="0062066D" w:rsidRPr="0062066D" w:rsidSect="008E5477">
          <w:footerReference w:type="default" r:id="rId9"/>
          <w:type w:val="continuous"/>
          <w:pgSz w:w="11910" w:h="16840"/>
          <w:pgMar w:top="995" w:right="600" w:bottom="840" w:left="620" w:header="0" w:footer="0" w:gutter="0"/>
          <w:cols w:space="720"/>
          <w:docGrid w:linePitch="299"/>
        </w:sectPr>
      </w:pPr>
    </w:p>
    <w:p w14:paraId="21430F16" w14:textId="58544AF0" w:rsidR="00AE3E37" w:rsidRDefault="00A9710C">
      <w:pPr>
        <w:pStyle w:val="Heading3"/>
        <w:spacing w:before="147"/>
        <w:jc w:val="both"/>
      </w:pPr>
      <w:r>
        <w:rPr>
          <w:color w:val="BF5A14"/>
        </w:rPr>
        <w:lastRenderedPageBreak/>
        <w:t>Abstract</w:t>
      </w:r>
      <w:r w:rsidR="00404E5B">
        <w:rPr>
          <w:color w:val="BF5A14"/>
        </w:rPr>
        <w:t xml:space="preserve"> </w:t>
      </w:r>
    </w:p>
    <w:p w14:paraId="5B331CB6" w14:textId="1CE6319F" w:rsidR="0062066D" w:rsidRPr="0062066D" w:rsidRDefault="0062066D" w:rsidP="0062066D">
      <w:pPr>
        <w:pStyle w:val="Heading3"/>
        <w:spacing w:before="74"/>
        <w:rPr>
          <w:rFonts w:ascii="Tw Cen MT" w:eastAsia="Tw Cen MT" w:hAnsi="Tw Cen MT" w:cs="Tw Cen MT"/>
          <w:b w:val="0"/>
          <w:bCs w:val="0"/>
          <w:sz w:val="18"/>
          <w:szCs w:val="18"/>
        </w:rPr>
      </w:pPr>
      <w:r w:rsidRPr="0062066D">
        <w:rPr>
          <w:rFonts w:ascii="Tw Cen MT" w:eastAsia="Tw Cen MT" w:hAnsi="Tw Cen MT" w:cs="Tw Cen MT"/>
          <w:b w:val="0"/>
          <w:bCs w:val="0"/>
          <w:sz w:val="18"/>
          <w:szCs w:val="18"/>
        </w:rPr>
        <w:t>Background and Aims: Transient Elastography (TE) is a non</w:t>
      </w:r>
      <w:r w:rsidRPr="0062066D">
        <w:rPr>
          <w:rFonts w:ascii="Cambria Math" w:eastAsia="Tw Cen MT" w:hAnsi="Cambria Math" w:cs="Cambria Math"/>
          <w:b w:val="0"/>
          <w:bCs w:val="0"/>
          <w:sz w:val="18"/>
          <w:szCs w:val="18"/>
        </w:rPr>
        <w:t>‐</w:t>
      </w:r>
      <w:r w:rsidRPr="0062066D">
        <w:rPr>
          <w:rFonts w:ascii="Tw Cen MT" w:eastAsia="Tw Cen MT" w:hAnsi="Tw Cen MT" w:cs="Tw Cen MT"/>
          <w:b w:val="0"/>
          <w:bCs w:val="0"/>
          <w:sz w:val="18"/>
          <w:szCs w:val="18"/>
        </w:rPr>
        <w:t>invasive technique for estimating liver fibrosis. There is limited data about the performance of TE in Pakistani patients with non</w:t>
      </w:r>
      <w:r w:rsidRPr="0062066D">
        <w:rPr>
          <w:rFonts w:ascii="Cambria Math" w:eastAsia="Tw Cen MT" w:hAnsi="Cambria Math" w:cs="Cambria Math"/>
          <w:b w:val="0"/>
          <w:bCs w:val="0"/>
          <w:sz w:val="18"/>
          <w:szCs w:val="18"/>
        </w:rPr>
        <w:t>‐</w:t>
      </w:r>
      <w:r w:rsidRPr="0062066D">
        <w:rPr>
          <w:rFonts w:ascii="Tw Cen MT" w:eastAsia="Tw Cen MT" w:hAnsi="Tw Cen MT" w:cs="Tw Cen MT"/>
          <w:b w:val="0"/>
          <w:bCs w:val="0"/>
          <w:sz w:val="18"/>
          <w:szCs w:val="18"/>
        </w:rPr>
        <w:t xml:space="preserve">alcoholic fatty liver disease (NAFLD). NAFLD is a global outbreak, it is pivotal that patients with NAFLD should undergo an assessment for their risk of advanced fibrosis, which enhances the risk of hepatocellular carcinoma (HCC) and other complications of cirrhosis.  </w:t>
      </w:r>
      <w:r>
        <w:rPr>
          <w:rFonts w:ascii="Tw Cen MT" w:eastAsia="Tw Cen MT" w:hAnsi="Tw Cen MT" w:cs="Tw Cen MT"/>
          <w:b w:val="0"/>
          <w:bCs w:val="0"/>
          <w:sz w:val="18"/>
          <w:szCs w:val="18"/>
        </w:rPr>
        <w:t>The</w:t>
      </w:r>
      <w:r w:rsidRPr="0062066D">
        <w:rPr>
          <w:rFonts w:ascii="Tw Cen MT" w:eastAsia="Tw Cen MT" w:hAnsi="Tw Cen MT" w:cs="Tw Cen MT"/>
          <w:b w:val="0"/>
          <w:bCs w:val="0"/>
          <w:sz w:val="18"/>
          <w:szCs w:val="18"/>
        </w:rPr>
        <w:t xml:space="preserve"> overall prevalence of NAFLD in Pakistan is 47%. In the present study, we have evaluated the diagnostic accuracy of TE in identifying different degrees of fibrosis in NAFLD adult patients</w:t>
      </w:r>
    </w:p>
    <w:p w14:paraId="52E14A88" w14:textId="77777777" w:rsidR="0062066D" w:rsidRPr="0062066D" w:rsidRDefault="0062066D" w:rsidP="0062066D">
      <w:pPr>
        <w:pStyle w:val="Heading3"/>
        <w:spacing w:before="74"/>
        <w:rPr>
          <w:rFonts w:ascii="Tw Cen MT" w:eastAsia="Tw Cen MT" w:hAnsi="Tw Cen MT" w:cs="Tw Cen MT"/>
          <w:b w:val="0"/>
          <w:bCs w:val="0"/>
          <w:sz w:val="18"/>
          <w:szCs w:val="18"/>
        </w:rPr>
      </w:pPr>
    </w:p>
    <w:p w14:paraId="27F52A22" w14:textId="77777777" w:rsidR="0062066D" w:rsidRPr="0062066D" w:rsidRDefault="0062066D" w:rsidP="0062066D">
      <w:pPr>
        <w:pStyle w:val="Heading3"/>
        <w:spacing w:before="74"/>
        <w:rPr>
          <w:rFonts w:ascii="Tw Cen MT" w:eastAsia="Tw Cen MT" w:hAnsi="Tw Cen MT" w:cs="Tw Cen MT"/>
          <w:b w:val="0"/>
          <w:bCs w:val="0"/>
          <w:sz w:val="18"/>
          <w:szCs w:val="18"/>
        </w:rPr>
      </w:pPr>
    </w:p>
    <w:p w14:paraId="035E3552" w14:textId="653BED63" w:rsidR="0062066D" w:rsidRPr="0062066D" w:rsidRDefault="0062066D" w:rsidP="0062066D">
      <w:pPr>
        <w:pStyle w:val="Heading3"/>
        <w:spacing w:before="74"/>
        <w:rPr>
          <w:rFonts w:ascii="Tw Cen MT" w:eastAsia="Tw Cen MT" w:hAnsi="Tw Cen MT" w:cs="Tw Cen MT"/>
          <w:b w:val="0"/>
          <w:bCs w:val="0"/>
          <w:sz w:val="18"/>
          <w:szCs w:val="18"/>
        </w:rPr>
      </w:pPr>
      <w:r w:rsidRPr="0062066D">
        <w:rPr>
          <w:rFonts w:ascii="Tw Cen MT" w:eastAsia="Tw Cen MT" w:hAnsi="Tw Cen MT" w:cs="Tw Cen MT"/>
          <w:b w:val="0"/>
          <w:bCs w:val="0"/>
          <w:sz w:val="18"/>
          <w:szCs w:val="18"/>
        </w:rPr>
        <w:t xml:space="preserve">Method: A Cross-sectional study was undertaken at the Department of Gastroenterology, Jinnah Postgraduate Medical Centre and Medical Unit II, Dow University of Health Sciences Ojha campus Karachi, Pakistan. After obtaining ethical approval, all patients above the age of 18 years, with </w:t>
      </w:r>
      <w:r>
        <w:rPr>
          <w:rFonts w:ascii="Tw Cen MT" w:eastAsia="Tw Cen MT" w:hAnsi="Tw Cen MT" w:cs="Tw Cen MT"/>
          <w:b w:val="0"/>
          <w:bCs w:val="0"/>
          <w:sz w:val="18"/>
          <w:szCs w:val="18"/>
        </w:rPr>
        <w:t xml:space="preserve">a </w:t>
      </w:r>
      <w:r w:rsidRPr="0062066D">
        <w:rPr>
          <w:rFonts w:ascii="Tw Cen MT" w:eastAsia="Tw Cen MT" w:hAnsi="Tw Cen MT" w:cs="Tw Cen MT"/>
          <w:b w:val="0"/>
          <w:bCs w:val="0"/>
          <w:sz w:val="18"/>
          <w:szCs w:val="18"/>
        </w:rPr>
        <w:t xml:space="preserve">diagnosis of NAFLD on the basis of abnormal liver function tests (LFTs) and </w:t>
      </w:r>
      <w:r>
        <w:rPr>
          <w:rFonts w:ascii="Tw Cen MT" w:eastAsia="Tw Cen MT" w:hAnsi="Tw Cen MT" w:cs="Tw Cen MT"/>
          <w:b w:val="0"/>
          <w:bCs w:val="0"/>
          <w:sz w:val="18"/>
          <w:szCs w:val="18"/>
        </w:rPr>
        <w:t>an</w:t>
      </w:r>
      <w:r w:rsidRPr="0062066D">
        <w:rPr>
          <w:rFonts w:ascii="Tw Cen MT" w:eastAsia="Tw Cen MT" w:hAnsi="Tw Cen MT" w:cs="Tw Cen MT"/>
          <w:b w:val="0"/>
          <w:bCs w:val="0"/>
          <w:sz w:val="18"/>
          <w:szCs w:val="18"/>
        </w:rPr>
        <w:t xml:space="preserve"> ultrasound abdomen consistent with fatty liver were included in the study. All patients with hepatitis, hepatic malignancies, hepatobiliary infections, and biliary tract disease were excluded from the study. Fibrosis score was calculated through Elastography as F0-F1 (5.3-7.1 kPa, Normal); F2 (7.5-8.5 kPa, Mild/Grade-I); F3 (9.5-13.0 kPa, Moderate/Grade-II); and F4 (13.1-18.8 kPa, Severe/Grade-III). </w:t>
      </w:r>
    </w:p>
    <w:p w14:paraId="50302B88" w14:textId="77777777" w:rsidR="0062066D" w:rsidRPr="0062066D" w:rsidRDefault="0062066D" w:rsidP="0062066D">
      <w:pPr>
        <w:pStyle w:val="Heading3"/>
        <w:spacing w:before="74"/>
        <w:rPr>
          <w:rFonts w:ascii="Tw Cen MT" w:eastAsia="Tw Cen MT" w:hAnsi="Tw Cen MT" w:cs="Tw Cen MT"/>
          <w:b w:val="0"/>
          <w:bCs w:val="0"/>
          <w:sz w:val="18"/>
          <w:szCs w:val="18"/>
        </w:rPr>
      </w:pPr>
    </w:p>
    <w:p w14:paraId="6302E8B4" w14:textId="77777777" w:rsidR="0062066D" w:rsidRPr="0062066D" w:rsidRDefault="0062066D" w:rsidP="0062066D">
      <w:pPr>
        <w:pStyle w:val="Heading3"/>
        <w:spacing w:before="74"/>
        <w:rPr>
          <w:rFonts w:ascii="Tw Cen MT" w:eastAsia="Tw Cen MT" w:hAnsi="Tw Cen MT" w:cs="Tw Cen MT"/>
          <w:b w:val="0"/>
          <w:bCs w:val="0"/>
          <w:sz w:val="18"/>
          <w:szCs w:val="18"/>
        </w:rPr>
      </w:pPr>
    </w:p>
    <w:p w14:paraId="01A63B9A" w14:textId="547949F3" w:rsidR="0062066D" w:rsidRPr="0062066D" w:rsidRDefault="0062066D" w:rsidP="0062066D">
      <w:pPr>
        <w:pStyle w:val="Heading3"/>
        <w:spacing w:before="74"/>
        <w:rPr>
          <w:rFonts w:ascii="Tw Cen MT" w:eastAsia="Tw Cen MT" w:hAnsi="Tw Cen MT" w:cs="Tw Cen MT"/>
          <w:b w:val="0"/>
          <w:bCs w:val="0"/>
          <w:sz w:val="18"/>
          <w:szCs w:val="18"/>
        </w:rPr>
      </w:pPr>
      <w:r w:rsidRPr="0062066D">
        <w:rPr>
          <w:rFonts w:ascii="Tw Cen MT" w:eastAsia="Tw Cen MT" w:hAnsi="Tw Cen MT" w:cs="Tw Cen MT"/>
          <w:b w:val="0"/>
          <w:bCs w:val="0"/>
          <w:sz w:val="18"/>
          <w:szCs w:val="18"/>
        </w:rPr>
        <w:t xml:space="preserve">Results: A total of 171 patients were enrolled in the study, from which 69 (40.35%) were male and 102 (59.64%) were female, with a mean age of 37.50 ± 9.74 years.  Out of these, 112 (65.49%) belonged to the lower socioeconomic class. One hundred and </w:t>
      </w:r>
      <w:r>
        <w:rPr>
          <w:rFonts w:ascii="Tw Cen MT" w:eastAsia="Tw Cen MT" w:hAnsi="Tw Cen MT" w:cs="Tw Cen MT"/>
          <w:b w:val="0"/>
          <w:bCs w:val="0"/>
          <w:sz w:val="18"/>
          <w:szCs w:val="18"/>
        </w:rPr>
        <w:t>twenty-two</w:t>
      </w:r>
      <w:r w:rsidRPr="0062066D">
        <w:rPr>
          <w:rFonts w:ascii="Tw Cen MT" w:eastAsia="Tw Cen MT" w:hAnsi="Tw Cen MT" w:cs="Tw Cen MT"/>
          <w:b w:val="0"/>
          <w:bCs w:val="0"/>
          <w:sz w:val="18"/>
          <w:szCs w:val="18"/>
        </w:rPr>
        <w:t xml:space="preserve"> (71.34%) patients had fatty liver on ultrasound and 49 (28.65%) had hepatomegaly with fatty changes. TE revealed 69 (40.35%) patients had a score of F0-F1, 62 (36.25%) F2, 29 (16.95%) F3, and only 11 (6.43%) had a score of F4.</w:t>
      </w:r>
    </w:p>
    <w:p w14:paraId="6149403C" w14:textId="77777777" w:rsidR="0062066D" w:rsidRPr="0062066D" w:rsidRDefault="0062066D" w:rsidP="0062066D">
      <w:pPr>
        <w:pStyle w:val="Heading3"/>
        <w:spacing w:before="74"/>
        <w:rPr>
          <w:rFonts w:ascii="Tw Cen MT" w:eastAsia="Tw Cen MT" w:hAnsi="Tw Cen MT" w:cs="Tw Cen MT"/>
          <w:b w:val="0"/>
          <w:bCs w:val="0"/>
          <w:sz w:val="18"/>
          <w:szCs w:val="18"/>
        </w:rPr>
      </w:pPr>
    </w:p>
    <w:p w14:paraId="52322DF7" w14:textId="77777777" w:rsidR="0062066D" w:rsidRPr="0062066D" w:rsidRDefault="0062066D" w:rsidP="0062066D">
      <w:pPr>
        <w:pStyle w:val="Heading3"/>
        <w:spacing w:before="74"/>
        <w:rPr>
          <w:rFonts w:ascii="Tw Cen MT" w:eastAsia="Tw Cen MT" w:hAnsi="Tw Cen MT" w:cs="Tw Cen MT"/>
          <w:b w:val="0"/>
          <w:bCs w:val="0"/>
          <w:sz w:val="18"/>
          <w:szCs w:val="18"/>
        </w:rPr>
      </w:pPr>
    </w:p>
    <w:p w14:paraId="6A1A3ECF" w14:textId="14D68E7B" w:rsidR="0062066D" w:rsidRPr="0062066D" w:rsidRDefault="0062066D" w:rsidP="0062066D">
      <w:pPr>
        <w:pStyle w:val="Heading3"/>
        <w:spacing w:before="74"/>
        <w:rPr>
          <w:rFonts w:ascii="Tw Cen MT" w:eastAsia="Tw Cen MT" w:hAnsi="Tw Cen MT" w:cs="Tw Cen MT"/>
          <w:b w:val="0"/>
          <w:bCs w:val="0"/>
          <w:sz w:val="18"/>
          <w:szCs w:val="18"/>
        </w:rPr>
      </w:pPr>
      <w:r w:rsidRPr="0062066D">
        <w:rPr>
          <w:rFonts w:ascii="Tw Cen MT" w:eastAsia="Tw Cen MT" w:hAnsi="Tw Cen MT" w:cs="Tw Cen MT"/>
          <w:b w:val="0"/>
          <w:bCs w:val="0"/>
          <w:sz w:val="18"/>
          <w:szCs w:val="18"/>
        </w:rPr>
        <w:t xml:space="preserve">Conclusion: The detection of liver fibrosis at </w:t>
      </w:r>
      <w:r>
        <w:rPr>
          <w:rFonts w:ascii="Tw Cen MT" w:eastAsia="Tw Cen MT" w:hAnsi="Tw Cen MT" w:cs="Tw Cen MT"/>
          <w:b w:val="0"/>
          <w:bCs w:val="0"/>
          <w:sz w:val="18"/>
          <w:szCs w:val="18"/>
        </w:rPr>
        <w:t xml:space="preserve">its </w:t>
      </w:r>
      <w:r w:rsidRPr="0062066D">
        <w:rPr>
          <w:rFonts w:ascii="Tw Cen MT" w:eastAsia="Tw Cen MT" w:hAnsi="Tw Cen MT" w:cs="Tw Cen MT"/>
          <w:b w:val="0"/>
          <w:bCs w:val="0"/>
          <w:sz w:val="18"/>
          <w:szCs w:val="18"/>
        </w:rPr>
        <w:t xml:space="preserve">early stages is crucial in preventing its progression to cirrhosis which is </w:t>
      </w:r>
      <w:r>
        <w:rPr>
          <w:rFonts w:ascii="Tw Cen MT" w:eastAsia="Tw Cen MT" w:hAnsi="Tw Cen MT" w:cs="Tw Cen MT"/>
          <w:b w:val="0"/>
          <w:bCs w:val="0"/>
          <w:sz w:val="18"/>
          <w:szCs w:val="18"/>
        </w:rPr>
        <w:t>an</w:t>
      </w:r>
      <w:r w:rsidRPr="0062066D">
        <w:rPr>
          <w:rFonts w:ascii="Tw Cen MT" w:eastAsia="Tw Cen MT" w:hAnsi="Tw Cen MT" w:cs="Tw Cen MT"/>
          <w:b w:val="0"/>
          <w:bCs w:val="0"/>
          <w:sz w:val="18"/>
          <w:szCs w:val="18"/>
        </w:rPr>
        <w:t xml:space="preserve"> irreversible process. Reversal of fibrosis is only possible if it is diagnosed as early as possible and managed with appropriate treatment.</w:t>
      </w:r>
    </w:p>
    <w:p w14:paraId="2439AC76" w14:textId="77777777" w:rsidR="00AE3E37" w:rsidRDefault="00A9710C">
      <w:pPr>
        <w:pStyle w:val="Heading3"/>
        <w:spacing w:before="74"/>
      </w:pPr>
      <w:r>
        <w:rPr>
          <w:b w:val="0"/>
        </w:rPr>
        <w:br w:type="column"/>
      </w:r>
      <w:r>
        <w:rPr>
          <w:color w:val="BF5A14"/>
        </w:rPr>
        <w:lastRenderedPageBreak/>
        <w:t>Image</w:t>
      </w:r>
    </w:p>
    <w:p w14:paraId="5399EEE7" w14:textId="0FF4A099" w:rsidR="00AE3E37" w:rsidRDefault="00AE3E37">
      <w:pPr>
        <w:pStyle w:val="BodyText"/>
        <w:spacing w:before="2"/>
        <w:rPr>
          <w:rFonts w:ascii="Arial"/>
          <w:b/>
          <w:sz w:val="16"/>
        </w:rPr>
      </w:pPr>
    </w:p>
    <w:p w14:paraId="536EEB0F" w14:textId="3E4BA775" w:rsidR="005973B9" w:rsidRDefault="005973B9" w:rsidP="005973B9">
      <w:pPr>
        <w:spacing w:line="204" w:lineRule="exact"/>
        <w:rPr>
          <w:rFonts w:ascii="Arial"/>
          <w:b/>
          <w:sz w:val="20"/>
        </w:rPr>
      </w:pPr>
      <w:r>
        <w:rPr>
          <w:rFonts w:ascii="Arial"/>
          <w:b/>
          <w:color w:val="BF5A14"/>
          <w:sz w:val="20"/>
        </w:rPr>
        <w:br/>
        <w:t xml:space="preserve">Recent Publications </w:t>
      </w:r>
    </w:p>
    <w:p w14:paraId="694C9021" w14:textId="52B0E013" w:rsidR="005973B9" w:rsidRDefault="0062066D" w:rsidP="005973B9">
      <w:pPr>
        <w:pStyle w:val="ListParagraph"/>
        <w:numPr>
          <w:ilvl w:val="0"/>
          <w:numId w:val="3"/>
        </w:numPr>
        <w:tabs>
          <w:tab w:val="left" w:pos="384"/>
        </w:tabs>
        <w:spacing w:line="216" w:lineRule="exact"/>
        <w:ind w:right="137" w:hanging="283"/>
        <w:rPr>
          <w:sz w:val="18"/>
        </w:rPr>
      </w:pPr>
      <w:r w:rsidRPr="0062066D">
        <w:rPr>
          <w:sz w:val="18"/>
        </w:rPr>
        <w:t xml:space="preserve">Butt N, Ali Khan M, Rai L, et al. (June 29, 2021) Perception of Non-Alcoholic Fatty Liver Disease: Real-Life Experience </w:t>
      </w:r>
      <w:proofErr w:type="gramStart"/>
      <w:r w:rsidRPr="0062066D">
        <w:rPr>
          <w:sz w:val="18"/>
        </w:rPr>
        <w:t>From</w:t>
      </w:r>
      <w:proofErr w:type="gramEnd"/>
      <w:r w:rsidRPr="0062066D">
        <w:rPr>
          <w:sz w:val="18"/>
        </w:rPr>
        <w:t xml:space="preserve"> Pakistan. </w:t>
      </w:r>
      <w:proofErr w:type="spellStart"/>
      <w:r w:rsidRPr="0062066D">
        <w:rPr>
          <w:sz w:val="18"/>
        </w:rPr>
        <w:t>Cureus</w:t>
      </w:r>
      <w:proofErr w:type="spellEnd"/>
      <w:r w:rsidRPr="0062066D">
        <w:rPr>
          <w:sz w:val="18"/>
        </w:rPr>
        <w:t xml:space="preserve"> 13(6): e16029. doi:10.7759/</w:t>
      </w:r>
      <w:proofErr w:type="spellStart"/>
      <w:r w:rsidRPr="0062066D">
        <w:rPr>
          <w:sz w:val="18"/>
        </w:rPr>
        <w:t>cureus</w:t>
      </w:r>
      <w:proofErr w:type="spellEnd"/>
      <w:r w:rsidRPr="0062066D">
        <w:rPr>
          <w:sz w:val="18"/>
        </w:rPr>
        <w:t>.</w:t>
      </w:r>
    </w:p>
    <w:p w14:paraId="1BAC5CDB" w14:textId="77777777" w:rsidR="00844967" w:rsidRPr="00844967" w:rsidRDefault="0062066D" w:rsidP="00844967">
      <w:pPr>
        <w:pStyle w:val="ListParagraph"/>
        <w:numPr>
          <w:ilvl w:val="0"/>
          <w:numId w:val="3"/>
        </w:numPr>
        <w:tabs>
          <w:tab w:val="left" w:pos="384"/>
        </w:tabs>
        <w:spacing w:before="92" w:line="218" w:lineRule="exact"/>
        <w:ind w:hanging="283"/>
      </w:pPr>
      <w:r>
        <w:rPr>
          <w:rStyle w:val="article-title-and-info"/>
          <w:rFonts w:ascii="Arial" w:hAnsi="Arial" w:cs="Arial"/>
          <w:color w:val="333333"/>
          <w:spacing w:val="3"/>
          <w:sz w:val="17"/>
          <w:szCs w:val="17"/>
          <w:shd w:val="clear" w:color="auto" w:fill="FFFFFF"/>
        </w:rPr>
        <w:t>Rai L, Salam O, Yaqoob U and Zubair U. Case Report: Myocarditis along with fulminant hepatic failure secondary to acute hepatitis E infection</w:t>
      </w:r>
      <w:r w:rsidR="00844967">
        <w:rPr>
          <w:rStyle w:val="article-title-and-info"/>
          <w:rFonts w:ascii="Arial" w:hAnsi="Arial" w:cs="Arial"/>
          <w:color w:val="333333"/>
          <w:spacing w:val="3"/>
          <w:sz w:val="17"/>
          <w:szCs w:val="17"/>
          <w:shd w:val="clear" w:color="auto" w:fill="FFFFFF"/>
        </w:rPr>
        <w:t xml:space="preserve">. </w:t>
      </w:r>
      <w:r>
        <w:rPr>
          <w:rFonts w:ascii="Arial" w:hAnsi="Arial" w:cs="Arial"/>
          <w:i/>
          <w:iCs/>
          <w:color w:val="333333"/>
          <w:spacing w:val="3"/>
          <w:sz w:val="17"/>
          <w:szCs w:val="17"/>
          <w:shd w:val="clear" w:color="auto" w:fill="FFFFFF"/>
        </w:rPr>
        <w:t>F1000Research</w:t>
      </w:r>
      <w:r>
        <w:rPr>
          <w:rFonts w:ascii="Arial" w:hAnsi="Arial" w:cs="Arial"/>
          <w:color w:val="333333"/>
          <w:spacing w:val="3"/>
          <w:sz w:val="17"/>
          <w:szCs w:val="17"/>
          <w:shd w:val="clear" w:color="auto" w:fill="FFFFFF"/>
        </w:rPr>
        <w:t> 2019</w:t>
      </w:r>
    </w:p>
    <w:p w14:paraId="343EBF8F" w14:textId="6F46BCC3" w:rsidR="00844967" w:rsidRDefault="00844967" w:rsidP="00844967">
      <w:pPr>
        <w:pStyle w:val="ListParagraph"/>
        <w:numPr>
          <w:ilvl w:val="0"/>
          <w:numId w:val="3"/>
        </w:numPr>
        <w:tabs>
          <w:tab w:val="left" w:pos="384"/>
        </w:tabs>
        <w:spacing w:before="92" w:line="218" w:lineRule="exact"/>
        <w:rPr>
          <w:rStyle w:val="article-title-and-info"/>
          <w:rFonts w:ascii="Arial" w:hAnsi="Arial" w:cs="Arial"/>
          <w:color w:val="333333"/>
          <w:spacing w:val="3"/>
          <w:sz w:val="17"/>
          <w:szCs w:val="17"/>
          <w:shd w:val="clear" w:color="auto" w:fill="FFFFFF"/>
        </w:rPr>
      </w:pPr>
      <w:r w:rsidRPr="00844967">
        <w:t xml:space="preserve"> </w:t>
      </w:r>
      <w:r w:rsidRPr="00844967">
        <w:rPr>
          <w:rStyle w:val="article-title-and-info"/>
          <w:rFonts w:ascii="Arial" w:hAnsi="Arial" w:cs="Arial"/>
          <w:color w:val="333333"/>
          <w:spacing w:val="3"/>
          <w:sz w:val="17"/>
          <w:szCs w:val="17"/>
          <w:shd w:val="clear" w:color="auto" w:fill="FFFFFF"/>
        </w:rPr>
        <w:t>Factor V Deficiency in an Adolescent: A Case Report</w:t>
      </w:r>
      <w:r>
        <w:rPr>
          <w:rStyle w:val="article-title-and-info"/>
          <w:rFonts w:ascii="Arial" w:hAnsi="Arial" w:cs="Arial"/>
          <w:color w:val="333333"/>
          <w:spacing w:val="3"/>
          <w:sz w:val="17"/>
          <w:szCs w:val="17"/>
          <w:shd w:val="clear" w:color="auto" w:fill="FFFFFF"/>
        </w:rPr>
        <w:t xml:space="preserve"> </w:t>
      </w:r>
      <w:r w:rsidRPr="00844967">
        <w:rPr>
          <w:rStyle w:val="article-title-and-info"/>
          <w:rFonts w:ascii="Arial" w:hAnsi="Arial" w:cs="Arial"/>
          <w:color w:val="333333"/>
          <w:spacing w:val="3"/>
          <w:sz w:val="17"/>
          <w:szCs w:val="17"/>
          <w:shd w:val="clear" w:color="auto" w:fill="FFFFFF"/>
        </w:rPr>
        <w:t xml:space="preserve">Article  in  International Medical Journal (1994) · </w:t>
      </w:r>
    </w:p>
    <w:p w14:paraId="07C48712" w14:textId="5F2516F7" w:rsidR="00844967" w:rsidRPr="00844967" w:rsidRDefault="00844967" w:rsidP="00844967">
      <w:pPr>
        <w:pStyle w:val="ListParagraph"/>
        <w:numPr>
          <w:ilvl w:val="0"/>
          <w:numId w:val="3"/>
        </w:numPr>
        <w:tabs>
          <w:tab w:val="left" w:pos="384"/>
        </w:tabs>
        <w:spacing w:before="92" w:line="218" w:lineRule="exact"/>
        <w:rPr>
          <w:rFonts w:ascii="Arial" w:hAnsi="Arial" w:cs="Arial"/>
          <w:color w:val="333333"/>
          <w:spacing w:val="3"/>
          <w:sz w:val="17"/>
          <w:szCs w:val="17"/>
          <w:shd w:val="clear" w:color="auto" w:fill="FFFFFF"/>
        </w:rPr>
      </w:pPr>
      <w:r w:rsidRPr="00844967">
        <w:rPr>
          <w:rFonts w:ascii="Arial" w:hAnsi="Arial" w:cs="Arial"/>
          <w:color w:val="333333"/>
          <w:spacing w:val="3"/>
          <w:sz w:val="17"/>
          <w:szCs w:val="17"/>
          <w:shd w:val="clear" w:color="auto" w:fill="FFFFFF"/>
        </w:rPr>
        <w:t>Multiple Patent Ductus Arteriosus in an Adult: A Case Report</w:t>
      </w:r>
      <w:r>
        <w:rPr>
          <w:rFonts w:ascii="Arial" w:hAnsi="Arial" w:cs="Arial"/>
          <w:color w:val="333333"/>
          <w:spacing w:val="3"/>
          <w:sz w:val="17"/>
          <w:szCs w:val="17"/>
          <w:shd w:val="clear" w:color="auto" w:fill="FFFFFF"/>
        </w:rPr>
        <w:t xml:space="preserve"> </w:t>
      </w:r>
      <w:r w:rsidRPr="00844967">
        <w:rPr>
          <w:rFonts w:ascii="Arial" w:hAnsi="Arial" w:cs="Arial"/>
          <w:color w:val="333333"/>
          <w:spacing w:val="3"/>
          <w:sz w:val="17"/>
          <w:szCs w:val="17"/>
          <w:shd w:val="clear" w:color="auto" w:fill="FFFFFF"/>
        </w:rPr>
        <w:t>Int J Med Invest 2021, 10(2): 194-198</w:t>
      </w:r>
    </w:p>
    <w:p w14:paraId="52343B16" w14:textId="77777777" w:rsidR="00AE3E37" w:rsidRPr="008756E6" w:rsidRDefault="00AE3E37" w:rsidP="008756E6">
      <w:pPr>
        <w:tabs>
          <w:tab w:val="left" w:pos="384"/>
        </w:tabs>
        <w:ind w:right="117"/>
      </w:pPr>
    </w:p>
    <w:p w14:paraId="38CBAAB6"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7860DB49" w14:textId="77777777" w:rsidR="00AE3E37" w:rsidRDefault="00AE3E37">
      <w:pPr>
        <w:pStyle w:val="BodyText"/>
        <w:rPr>
          <w:rFonts w:ascii="Calibri"/>
          <w:sz w:val="20"/>
        </w:rPr>
      </w:pPr>
    </w:p>
    <w:p w14:paraId="36C97130"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C767946" wp14:editId="681770F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EEF269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908070A" w14:textId="2DA81837"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66564571" wp14:editId="16B2EE59">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BF6E7C" w14:textId="1F696B76" w:rsidR="00A52075" w:rsidRDefault="00B34F19" w:rsidP="00A52075">
                            <w:pPr>
                              <w:rPr>
                                <w:b/>
                                <w:color w:val="0000FF"/>
                                <w:lang w:val="en-IN"/>
                              </w:rPr>
                            </w:pPr>
                            <w:r w:rsidRPr="00B34F19">
                              <w:rPr>
                                <w:b/>
                                <w:noProof/>
                                <w:color w:val="0000FF"/>
                                <w:lang w:val="en-IN" w:eastAsia="en-IN"/>
                              </w:rPr>
                              <w:drawing>
                                <wp:inline distT="0" distB="0" distL="0" distR="0" wp14:anchorId="6BD34DD9" wp14:editId="0996D704">
                                  <wp:extent cx="749300" cy="43561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9300" cy="43561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6564571"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" strokecolor="#9bbb59" strokeweight="2.5pt">
                <v:shadow color="#868686"/>
                <v:textbox>
                  <w:txbxContent>
                    <w:p w14:paraId="21BF6E7C" w14:textId="1F696B76" w:rsidR="00A52075" w:rsidRDefault="00B34F19" w:rsidP="00A52075">
                      <w:pPr>
                        <w:rPr>
                          <w:b/>
                          <w:color w:val="0000FF"/>
                          <w:lang w:val="en-IN"/>
                        </w:rPr>
                      </w:pPr>
                      <w:r w:rsidRPr="00B34F19">
                        <w:rPr>
                          <w:b/>
                          <w:noProof/>
                          <w:color w:val="0000FF"/>
                          <w:lang w:val="en-IN"/>
                        </w:rPr>
                        <w:drawing>
                          <wp:inline distT="0" distB="0" distL="0" distR="0" wp14:anchorId="6BD34DD9" wp14:editId="0996D704">
                            <wp:extent cx="749300" cy="43561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9300" cy="435610"/>
                                    </a:xfrm>
                                    <a:prstGeom prst="rect">
                                      <a:avLst/>
                                    </a:prstGeom>
                                    <a:noFill/>
                                    <a:ln>
                                      <a:noFill/>
                                    </a:ln>
                                  </pic:spPr>
                                </pic:pic>
                              </a:graphicData>
                            </a:graphic>
                          </wp:inline>
                        </w:drawing>
                      </w:r>
                    </w:p>
                  </w:txbxContent>
                </v:textbox>
              </v:roundrect>
            </w:pict>
          </mc:Fallback>
        </mc:AlternateContent>
      </w:r>
      <w:r w:rsidR="008756E6">
        <w:rPr>
          <w:noProof/>
        </w:rPr>
        <w:t xml:space="preserve">              </w:t>
      </w:r>
      <w:r w:rsidR="00B34F19" w:rsidRPr="00B00B00">
        <w:rPr>
          <w:noProof/>
          <w:lang w:val="en-IN" w:eastAsia="en-IN"/>
        </w:rPr>
        <w:drawing>
          <wp:inline distT="0" distB="0" distL="0" distR="0" wp14:anchorId="3E365B6F" wp14:editId="3A41D00A">
            <wp:extent cx="964883" cy="626110"/>
            <wp:effectExtent l="0" t="0" r="6985" b="2540"/>
            <wp:docPr id="12" name="Picture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1340" cy="675723"/>
                    </a:xfrm>
                    <a:prstGeom prst="rect">
                      <a:avLst/>
                    </a:prstGeom>
                    <a:noFill/>
                    <a:ln>
                      <a:noFill/>
                    </a:ln>
                  </pic:spPr>
                </pic:pic>
              </a:graphicData>
            </a:graphic>
          </wp:inline>
        </w:drawing>
      </w:r>
      <w:r w:rsidR="00B34F19">
        <w:rPr>
          <w:noProof/>
        </w:rPr>
        <w:t xml:space="preserve"> </w:t>
      </w:r>
      <w:r w:rsidR="00A9710C">
        <w:rPr>
          <w:rFonts w:ascii="Arial"/>
          <w:color w:val="BF5A14"/>
        </w:rPr>
        <w:t>Biography</w:t>
      </w:r>
      <w:r w:rsidR="00404E5B">
        <w:rPr>
          <w:rFonts w:ascii="Arial"/>
          <w:color w:val="BF5A14"/>
        </w:rPr>
        <w:t xml:space="preserve"> </w:t>
      </w:r>
      <w:r w:rsidRPr="00A52075">
        <w:rPr>
          <w:rFonts w:ascii="Times New Roman" w:hAnsi="Times New Roman" w:cs="Times New Roman"/>
          <w:sz w:val="24"/>
          <w:szCs w:val="24"/>
        </w:rPr>
        <w:t xml:space="preserve"> </w:t>
      </w:r>
    </w:p>
    <w:p w14:paraId="74030B35" w14:textId="70DA316A" w:rsidR="00AE3E37" w:rsidRDefault="00844967">
      <w:pPr>
        <w:spacing w:before="41" w:line="154" w:lineRule="exact"/>
        <w:ind w:left="213" w:right="231"/>
        <w:jc w:val="both"/>
        <w:rPr>
          <w:rFonts w:ascii="Arial"/>
          <w:sz w:val="14"/>
        </w:rPr>
      </w:pPr>
      <w:r>
        <w:rPr>
          <w:rFonts w:ascii="Arial"/>
          <w:sz w:val="14"/>
        </w:rPr>
        <w:t>Dr Lajpat Rai</w:t>
      </w:r>
      <w:r w:rsidR="00A9710C">
        <w:rPr>
          <w:rFonts w:ascii="Arial"/>
          <w:sz w:val="14"/>
        </w:rPr>
        <w:t xml:space="preserve"> has </w:t>
      </w:r>
      <w:r>
        <w:rPr>
          <w:rFonts w:ascii="Arial"/>
          <w:sz w:val="14"/>
        </w:rPr>
        <w:t>a special interest in advanced endoscopy, transplant hepatology</w:t>
      </w:r>
      <w:r w:rsidR="00B34F19">
        <w:rPr>
          <w:rFonts w:ascii="Arial"/>
          <w:sz w:val="14"/>
        </w:rPr>
        <w:t>,</w:t>
      </w:r>
      <w:r>
        <w:rPr>
          <w:rFonts w:ascii="Arial"/>
          <w:sz w:val="14"/>
        </w:rPr>
        <w:t xml:space="preserve"> and emerging treatment of NAFLD</w:t>
      </w:r>
      <w:r w:rsidR="00A9710C">
        <w:rPr>
          <w:rFonts w:ascii="Arial"/>
          <w:sz w:val="14"/>
        </w:rPr>
        <w:t>.</w:t>
      </w:r>
      <w:r>
        <w:rPr>
          <w:rFonts w:ascii="Arial"/>
          <w:sz w:val="14"/>
        </w:rPr>
        <w:t xml:space="preserve"> He </w:t>
      </w:r>
      <w:r w:rsidR="00B34F19">
        <w:rPr>
          <w:rFonts w:ascii="Arial"/>
          <w:sz w:val="14"/>
        </w:rPr>
        <w:t>belongs</w:t>
      </w:r>
      <w:r>
        <w:rPr>
          <w:rFonts w:ascii="Arial"/>
          <w:sz w:val="14"/>
        </w:rPr>
        <w:t xml:space="preserve"> to a </w:t>
      </w:r>
      <w:r w:rsidR="00B34F19">
        <w:rPr>
          <w:rFonts w:ascii="Arial"/>
          <w:sz w:val="14"/>
        </w:rPr>
        <w:t>backward</w:t>
      </w:r>
      <w:r>
        <w:rPr>
          <w:rFonts w:ascii="Arial"/>
          <w:sz w:val="14"/>
        </w:rPr>
        <w:t xml:space="preserve"> area of </w:t>
      </w:r>
      <w:proofErr w:type="spellStart"/>
      <w:r>
        <w:rPr>
          <w:rFonts w:ascii="Arial"/>
          <w:sz w:val="14"/>
        </w:rPr>
        <w:t>Balochistan</w:t>
      </w:r>
      <w:proofErr w:type="spellEnd"/>
      <w:r>
        <w:rPr>
          <w:rFonts w:ascii="Arial"/>
          <w:sz w:val="14"/>
        </w:rPr>
        <w:t>, Pakistan</w:t>
      </w:r>
      <w:r w:rsidR="00B34F19">
        <w:rPr>
          <w:rFonts w:ascii="Arial"/>
          <w:sz w:val="14"/>
        </w:rPr>
        <w:t>, where has organized multiple free medical OPD camps for liver transplant evaluation and provided Hepatitis B vaccinations to poor needy patients. His main aim is to eradicate viral hepatitis from Pakistan.</w:t>
      </w:r>
    </w:p>
    <w:p w14:paraId="33D1E4C5" w14:textId="236C6C04" w:rsidR="00AE3E37" w:rsidRDefault="00A9710C">
      <w:pPr>
        <w:spacing w:before="62"/>
        <w:ind w:left="4217" w:right="4235"/>
        <w:jc w:val="center"/>
        <w:rPr>
          <w:rFonts w:ascii="Arial"/>
          <w:sz w:val="14"/>
        </w:rPr>
      </w:pPr>
      <w:r>
        <w:rPr>
          <w:rFonts w:ascii="Arial"/>
          <w:sz w:val="14"/>
        </w:rPr>
        <w:t xml:space="preserve">Email: </w:t>
      </w:r>
      <w:hyperlink r:id="rId13" w:history="1">
        <w:r w:rsidR="00B34F19" w:rsidRPr="00200EF7">
          <w:rPr>
            <w:rStyle w:val="Hyperlink"/>
            <w:rFonts w:ascii="Arial"/>
            <w:sz w:val="14"/>
          </w:rPr>
          <w:t>lajpat.seetlani@gmail.com</w:t>
        </w:r>
      </w:hyperlink>
    </w:p>
    <w:p w14:paraId="16421E6E"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D332468" wp14:editId="3E08999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B907BB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19612AB" w14:textId="77777777" w:rsidR="00AE3E37" w:rsidRDefault="00AE3E37">
      <w:pPr>
        <w:pStyle w:val="BodyText"/>
        <w:rPr>
          <w:rFonts w:ascii="Arial"/>
          <w:sz w:val="20"/>
        </w:rPr>
      </w:pPr>
    </w:p>
    <w:p w14:paraId="7556E024" w14:textId="77777777" w:rsidR="00AE3E37" w:rsidRDefault="00AE3E37">
      <w:pPr>
        <w:pStyle w:val="BodyText"/>
        <w:rPr>
          <w:rFonts w:ascii="Arial"/>
          <w:sz w:val="20"/>
        </w:rPr>
      </w:pPr>
    </w:p>
    <w:p w14:paraId="20E1C3DC" w14:textId="77777777" w:rsidR="00AE3E37" w:rsidRDefault="00AE3E37">
      <w:pPr>
        <w:pStyle w:val="BodyText"/>
        <w:spacing w:before="7"/>
        <w:rPr>
          <w:rFonts w:ascii="Arial"/>
          <w:sz w:val="29"/>
        </w:rPr>
      </w:pPr>
    </w:p>
    <w:p w14:paraId="40F76A91" w14:textId="77777777" w:rsidR="00EA7D51" w:rsidRDefault="00EA7D51" w:rsidP="000534A1">
      <w:pPr>
        <w:spacing w:before="39"/>
        <w:ind w:left="100"/>
        <w:rPr>
          <w:rFonts w:ascii="Minion Pro"/>
          <w:b/>
          <w:sz w:val="20"/>
        </w:rPr>
      </w:pPr>
    </w:p>
    <w:p w14:paraId="6EC01550" w14:textId="77777777" w:rsidR="00EA7D51" w:rsidRDefault="00EA7D51" w:rsidP="000534A1">
      <w:pPr>
        <w:spacing w:before="39"/>
        <w:ind w:left="100"/>
        <w:rPr>
          <w:rFonts w:ascii="Minion Pro"/>
          <w:b/>
          <w:sz w:val="20"/>
        </w:rPr>
      </w:pPr>
    </w:p>
    <w:p w14:paraId="59FE99B1" w14:textId="1E0C80C0"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B34F19">
        <w:rPr>
          <w:sz w:val="20"/>
          <w:szCs w:val="20"/>
          <w:lang w:val="en-NZ"/>
        </w:rPr>
        <w:t>DR. LAJPAT RAI</w:t>
      </w:r>
      <w:r w:rsidRPr="00F35A62">
        <w:rPr>
          <w:sz w:val="20"/>
          <w:szCs w:val="20"/>
          <w:lang w:val="en-NZ"/>
        </w:rPr>
        <w:br/>
        <w:t>Contact number:</w:t>
      </w:r>
      <w:r w:rsidR="00B34F19">
        <w:rPr>
          <w:sz w:val="20"/>
          <w:szCs w:val="20"/>
          <w:lang w:val="en-NZ"/>
        </w:rPr>
        <w:t xml:space="preserve"> 00923003177876</w:t>
      </w:r>
      <w:r w:rsidRPr="00F35A62">
        <w:rPr>
          <w:sz w:val="20"/>
          <w:szCs w:val="20"/>
          <w:lang w:val="en-NZ"/>
        </w:rPr>
        <w:br/>
        <w:t>Twitter account:</w:t>
      </w:r>
      <w:r w:rsidR="00B34F19">
        <w:rPr>
          <w:sz w:val="20"/>
          <w:szCs w:val="20"/>
          <w:lang w:val="en-NZ"/>
        </w:rPr>
        <w:t xml:space="preserve"> </w:t>
      </w:r>
      <w:r w:rsidR="00B34F19" w:rsidRPr="00B34F19">
        <w:rPr>
          <w:sz w:val="20"/>
          <w:szCs w:val="20"/>
          <w:lang w:val="en-NZ"/>
        </w:rPr>
        <w:t>https://twitter.com/lajpat101?s=11&amp;t=KnxvD-eX625C5GwL1dMZ4g</w:t>
      </w:r>
      <w:r w:rsidRPr="00F35A62">
        <w:rPr>
          <w:sz w:val="20"/>
          <w:szCs w:val="20"/>
          <w:lang w:val="en-NZ"/>
        </w:rPr>
        <w:br/>
        <w:t>Linked In account:</w:t>
      </w:r>
      <w:r w:rsidR="00B34F19">
        <w:rPr>
          <w:sz w:val="20"/>
          <w:szCs w:val="20"/>
          <w:lang w:val="en-NZ"/>
        </w:rPr>
        <w:t xml:space="preserve"> </w:t>
      </w:r>
      <w:r w:rsidR="00B34F19" w:rsidRPr="00B34F19">
        <w:rPr>
          <w:sz w:val="20"/>
          <w:szCs w:val="20"/>
          <w:lang w:val="en-NZ"/>
        </w:rPr>
        <w:t>https://www.linkedin.com/in/seetlani101</w:t>
      </w:r>
    </w:p>
    <w:p w14:paraId="1B9188AE" w14:textId="383256DF" w:rsidR="00EA7D51" w:rsidRPr="00B34F19" w:rsidRDefault="00EA7D51" w:rsidP="00B34F19">
      <w:pPr>
        <w:autoSpaceDE w:val="0"/>
        <w:autoSpaceDN w:val="0"/>
        <w:adjustRightInd w:val="0"/>
        <w:rPr>
          <w:sz w:val="20"/>
          <w:szCs w:val="20"/>
          <w:lang w:val="en-NZ"/>
        </w:rPr>
        <w:sectPr w:rsidR="00EA7D51" w:rsidRPr="00B34F19"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presentation/ Poster presentation)</w:t>
      </w:r>
      <w:r w:rsidRPr="00F35A62">
        <w:rPr>
          <w:sz w:val="20"/>
          <w:szCs w:val="20"/>
          <w:lang w:val="en-NZ"/>
        </w:rPr>
        <w:br/>
      </w:r>
    </w:p>
    <w:p w14:paraId="39352A57"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F88F10" w14:textId="77777777" w:rsidR="00AD57E5" w:rsidRDefault="00AD57E5">
      <w:r>
        <w:separator/>
      </w:r>
    </w:p>
  </w:endnote>
  <w:endnote w:type="continuationSeparator" w:id="0">
    <w:p w14:paraId="0EF3AE50" w14:textId="77777777" w:rsidR="00AD57E5" w:rsidRDefault="00AD5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FE441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5680" behindDoc="1" locked="0" layoutInCell="1" allowOverlap="1" wp14:anchorId="307C24B8" wp14:editId="259964F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7CEA8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23DE37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07C24B8" id="_x0000_t202" coordsize="21600,21600" o:spt="202" path="m,l,21600r21600,l21600,xe">
              <v:stroke joinstyle="miter"/>
              <v:path gradientshapeok="t" o:connecttype="rect"/>
            </v:shapetype>
            <v:shape id="Text Box 3" o:spid="_x0000_s1027" type="#_x0000_t202" style="position:absolute;margin-left:35pt;margin-top:798.8pt;width:168.2pt;height:19.6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1B7CEA8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23DE37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752" behindDoc="1" locked="0" layoutInCell="1" allowOverlap="1" wp14:anchorId="08C3097D" wp14:editId="3D4FA4E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679D5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10B52E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C3097D" id="Text Box 2" o:spid="_x0000_s1028"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0B679D5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10B52E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824" behindDoc="1" locked="0" layoutInCell="1" allowOverlap="1" wp14:anchorId="3375F701" wp14:editId="4F91A6F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39D26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049FA5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75F701" id="Text Box 1" o:spid="_x0000_s1029" type="#_x0000_t202" style="position:absolute;margin-left:468.9pt;margin-top:798.8pt;width:91.4pt;height:26.0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1739D26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049FA5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B2B042" w14:textId="77777777" w:rsidR="00AD57E5" w:rsidRDefault="00AD57E5">
      <w:r>
        <w:separator/>
      </w:r>
    </w:p>
  </w:footnote>
  <w:footnote w:type="continuationSeparator" w:id="0">
    <w:p w14:paraId="48F80E3E" w14:textId="77777777" w:rsidR="00AD57E5" w:rsidRDefault="00AD57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51D9B"/>
    <w:rsid w:val="003618F9"/>
    <w:rsid w:val="00380299"/>
    <w:rsid w:val="00404E5B"/>
    <w:rsid w:val="00414F7B"/>
    <w:rsid w:val="004355DC"/>
    <w:rsid w:val="004749B4"/>
    <w:rsid w:val="00475D20"/>
    <w:rsid w:val="00494130"/>
    <w:rsid w:val="004F3523"/>
    <w:rsid w:val="00590D60"/>
    <w:rsid w:val="005973B9"/>
    <w:rsid w:val="005B3A56"/>
    <w:rsid w:val="006060CE"/>
    <w:rsid w:val="0061505C"/>
    <w:rsid w:val="0062066D"/>
    <w:rsid w:val="0063497F"/>
    <w:rsid w:val="00640740"/>
    <w:rsid w:val="00714354"/>
    <w:rsid w:val="00844967"/>
    <w:rsid w:val="00873DF0"/>
    <w:rsid w:val="008756E6"/>
    <w:rsid w:val="00897EC5"/>
    <w:rsid w:val="008A0763"/>
    <w:rsid w:val="008E5477"/>
    <w:rsid w:val="009B2D44"/>
    <w:rsid w:val="00A07E82"/>
    <w:rsid w:val="00A52075"/>
    <w:rsid w:val="00A9710C"/>
    <w:rsid w:val="00AD57E5"/>
    <w:rsid w:val="00AE3E37"/>
    <w:rsid w:val="00B21A57"/>
    <w:rsid w:val="00B34F19"/>
    <w:rsid w:val="00BE6743"/>
    <w:rsid w:val="00C33602"/>
    <w:rsid w:val="00C56C74"/>
    <w:rsid w:val="00CD6F55"/>
    <w:rsid w:val="00D0089B"/>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6AB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rticle-title-and-info">
    <w:name w:val="article-title-and-info"/>
    <w:basedOn w:val="DefaultParagraphFont"/>
    <w:rsid w:val="0062066D"/>
  </w:style>
  <w:style w:type="character" w:customStyle="1" w:styleId="UnresolvedMention">
    <w:name w:val="Unresolved Mention"/>
    <w:basedOn w:val="DefaultParagraphFont"/>
    <w:uiPriority w:val="99"/>
    <w:semiHidden/>
    <w:unhideWhenUsed/>
    <w:rsid w:val="00B34F1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rticle-title-and-info">
    <w:name w:val="article-title-and-info"/>
    <w:basedOn w:val="DefaultParagraphFont"/>
    <w:rsid w:val="0062066D"/>
  </w:style>
  <w:style w:type="character" w:customStyle="1" w:styleId="UnresolvedMention">
    <w:name w:val="Unresolved Mention"/>
    <w:basedOn w:val="DefaultParagraphFont"/>
    <w:uiPriority w:val="99"/>
    <w:semiHidden/>
    <w:unhideWhenUsed/>
    <w:rsid w:val="00B34F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lajpat.seetlani@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0.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586</Words>
  <Characters>3344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Gastro Congress 2021</cp:lastModifiedBy>
  <cp:revision>2</cp:revision>
  <dcterms:created xsi:type="dcterms:W3CDTF">2023-03-20T05:01:00Z</dcterms:created>
  <dcterms:modified xsi:type="dcterms:W3CDTF">2023-03-20T05:01:00Z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2eeeae8b96161d06ca9a415f235b5d5e61273653926fb8a7d25e33faa5d0ee5c</vt:lpwstr>
  </property>
</Properties>
</file>