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87F7B0" w14:textId="0E7D6EC5" w:rsidR="002C6187" w:rsidRDefault="002C6187" w:rsidP="002C6187">
      <w:pPr>
        <w:pStyle w:val="Heading1"/>
        <w:spacing w:before="170"/>
        <w:ind w:left="0"/>
        <w:jc w:val="both"/>
      </w:pPr>
      <w:r>
        <w:rPr>
          <w:color w:val="337AB7"/>
        </w:rPr>
        <w:t xml:space="preserve">Molecular basis for substrate recognition and septum cleavage by </w:t>
      </w:r>
      <w:proofErr w:type="spellStart"/>
      <w:r>
        <w:rPr>
          <w:color w:val="337AB7"/>
        </w:rPr>
        <w:t>AtlA</w:t>
      </w:r>
      <w:proofErr w:type="spellEnd"/>
      <w:r>
        <w:rPr>
          <w:color w:val="337AB7"/>
        </w:rPr>
        <w:t>, the major N-</w:t>
      </w:r>
      <w:proofErr w:type="spellStart"/>
      <w:r>
        <w:rPr>
          <w:color w:val="337AB7"/>
        </w:rPr>
        <w:t>acetylglucosaminidase</w:t>
      </w:r>
      <w:proofErr w:type="spellEnd"/>
      <w:r>
        <w:rPr>
          <w:color w:val="337AB7"/>
        </w:rPr>
        <w:t xml:space="preserve"> of </w:t>
      </w:r>
      <w:r w:rsidRPr="002C6187">
        <w:rPr>
          <w:i/>
          <w:iCs/>
          <w:color w:val="337AB7"/>
        </w:rPr>
        <w:t>Enterococcus faecalis</w:t>
      </w:r>
      <w:r>
        <w:rPr>
          <w:color w:val="337AB7"/>
        </w:rPr>
        <w:t xml:space="preserve"> </w:t>
      </w:r>
    </w:p>
    <w:p w14:paraId="0436F233" w14:textId="77777777" w:rsidR="00AE3E37" w:rsidRDefault="00AE3E37">
      <w:pPr>
        <w:rPr>
          <w:rFonts w:ascii="Arial"/>
          <w:sz w:val="21"/>
          <w:lang w:val="fr-FR"/>
        </w:rPr>
      </w:pPr>
    </w:p>
    <w:p w14:paraId="07BAAC53" w14:textId="66E6F429" w:rsidR="00CB12E2" w:rsidRPr="00CB12E2" w:rsidRDefault="00CB12E2">
      <w:pPr>
        <w:rPr>
          <w:rFonts w:ascii="Arial"/>
          <w:sz w:val="21"/>
          <w:lang w:val="fr-FR"/>
        </w:rPr>
        <w:sectPr w:rsidR="00CB12E2" w:rsidRPr="00CB12E2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  <w:r w:rsidRPr="00CB12E2">
        <w:rPr>
          <w:lang w:val="fr-FR"/>
        </w:rPr>
        <w:t xml:space="preserve">Zamboni V., </w:t>
      </w:r>
      <w:proofErr w:type="spellStart"/>
      <w:r w:rsidRPr="00CB12E2">
        <w:rPr>
          <w:lang w:val="fr-FR"/>
        </w:rPr>
        <w:t>Barelier</w:t>
      </w:r>
      <w:proofErr w:type="spellEnd"/>
      <w:r w:rsidRPr="00CB12E2">
        <w:rPr>
          <w:lang w:val="fr-FR"/>
        </w:rPr>
        <w:t xml:space="preserve"> S., Dixon R., </w:t>
      </w:r>
      <w:proofErr w:type="spellStart"/>
      <w:r w:rsidRPr="00CB12E2">
        <w:rPr>
          <w:lang w:val="fr-FR"/>
        </w:rPr>
        <w:t>Galley</w:t>
      </w:r>
      <w:proofErr w:type="spellEnd"/>
      <w:r w:rsidRPr="00CB12E2">
        <w:rPr>
          <w:lang w:val="fr-FR"/>
        </w:rPr>
        <w:t xml:space="preserve"> N.F., </w:t>
      </w:r>
      <w:proofErr w:type="spellStart"/>
      <w:r w:rsidRPr="00CB12E2">
        <w:rPr>
          <w:lang w:val="fr-FR"/>
        </w:rPr>
        <w:t>Ghanem</w:t>
      </w:r>
      <w:proofErr w:type="spellEnd"/>
      <w:r w:rsidRPr="00CB12E2">
        <w:rPr>
          <w:lang w:val="fr-FR"/>
        </w:rPr>
        <w:t xml:space="preserve"> A. Nguyen Q.P., Cahuzac H.,  </w:t>
      </w:r>
      <w:proofErr w:type="spellStart"/>
      <w:r w:rsidRPr="00CB12E2">
        <w:rPr>
          <w:lang w:val="fr-FR"/>
        </w:rPr>
        <w:t>Salamaga</w:t>
      </w:r>
      <w:proofErr w:type="spellEnd"/>
      <w:r w:rsidRPr="00CB12E2">
        <w:rPr>
          <w:lang w:val="fr-FR"/>
        </w:rPr>
        <w:t xml:space="preserve"> B., Davis P.J., </w:t>
      </w:r>
      <w:proofErr w:type="spellStart"/>
      <w:r w:rsidRPr="00CB12E2">
        <w:rPr>
          <w:lang w:val="fr-FR"/>
        </w:rPr>
        <w:t>Bourne</w:t>
      </w:r>
      <w:proofErr w:type="spellEnd"/>
      <w:r w:rsidRPr="00CB12E2">
        <w:rPr>
          <w:lang w:val="fr-FR"/>
        </w:rPr>
        <w:t xml:space="preserve"> Y., </w:t>
      </w:r>
      <w:proofErr w:type="spellStart"/>
      <w:r w:rsidRPr="00CB12E2">
        <w:rPr>
          <w:lang w:val="fr-FR"/>
        </w:rPr>
        <w:t>Mesnage</w:t>
      </w:r>
      <w:proofErr w:type="spellEnd"/>
      <w:r w:rsidRPr="00CB12E2">
        <w:rPr>
          <w:lang w:val="fr-FR"/>
        </w:rPr>
        <w:t xml:space="preserve"> S., Vincent F</w:t>
      </w:r>
    </w:p>
    <w:p w14:paraId="1F71A301" w14:textId="72F39BF9" w:rsidR="00AE3E37" w:rsidRDefault="00A9710C">
      <w:pPr>
        <w:pStyle w:val="Heading3"/>
        <w:spacing w:before="147"/>
        <w:jc w:val="both"/>
        <w:rPr>
          <w:color w:val="BF5A14"/>
        </w:rPr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14:paraId="4FA633A6" w14:textId="77777777" w:rsidR="002C6187" w:rsidRDefault="002C6187">
      <w:pPr>
        <w:pStyle w:val="Heading3"/>
        <w:spacing w:before="147"/>
        <w:jc w:val="both"/>
      </w:pPr>
    </w:p>
    <w:p w14:paraId="3978AFD7" w14:textId="62ECCE8B" w:rsidR="002C6187" w:rsidRPr="002C6187" w:rsidRDefault="002C6187" w:rsidP="002C6187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  <w:r w:rsidRPr="002C6187">
        <w:rPr>
          <w:rFonts w:ascii="Arial" w:hAnsi="Arial" w:cs="Arial"/>
          <w:sz w:val="18"/>
          <w:szCs w:val="18"/>
        </w:rPr>
        <w:t xml:space="preserve">The cleavage of septal peptidoglycan at the end of cell division facilitates the separation of the two daughter cells. The hydrolases involved in this process (called autolysins) </w:t>
      </w:r>
      <w:proofErr w:type="spellStart"/>
      <w:r w:rsidRPr="002C6187">
        <w:rPr>
          <w:rFonts w:ascii="Arial" w:hAnsi="Arial" w:cs="Arial"/>
          <w:sz w:val="18"/>
          <w:szCs w:val="18"/>
        </w:rPr>
        <w:t>areb</w:t>
      </w:r>
      <w:proofErr w:type="spellEnd"/>
      <w:r w:rsidRPr="002C6187">
        <w:rPr>
          <w:rFonts w:ascii="Arial" w:hAnsi="Arial" w:cs="Arial"/>
          <w:sz w:val="18"/>
          <w:szCs w:val="18"/>
        </w:rPr>
        <w:t xml:space="preserve"> potentially lethal enzymes that can cause cell death; their activity, therefore, must be tightly controlled during cell growth. In Enterococcus </w:t>
      </w:r>
      <w:proofErr w:type="spellStart"/>
      <w:r w:rsidRPr="002C6187">
        <w:rPr>
          <w:rFonts w:ascii="Arial" w:hAnsi="Arial" w:cs="Arial"/>
          <w:sz w:val="18"/>
          <w:szCs w:val="18"/>
        </w:rPr>
        <w:t>faecalis</w:t>
      </w:r>
      <w:proofErr w:type="spellEnd"/>
      <w:r w:rsidRPr="002C6187">
        <w:rPr>
          <w:rFonts w:ascii="Arial" w:hAnsi="Arial" w:cs="Arial"/>
          <w:sz w:val="18"/>
          <w:szCs w:val="18"/>
        </w:rPr>
        <w:t>, the N-</w:t>
      </w:r>
      <w:proofErr w:type="spellStart"/>
      <w:r w:rsidRPr="002C6187">
        <w:rPr>
          <w:rFonts w:ascii="Arial" w:hAnsi="Arial" w:cs="Arial"/>
          <w:sz w:val="18"/>
          <w:szCs w:val="18"/>
        </w:rPr>
        <w:t>acetylglucosaminidase</w:t>
      </w:r>
      <w:proofErr w:type="spellEnd"/>
      <w:r w:rsidRPr="002C6187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C6187">
        <w:rPr>
          <w:rFonts w:ascii="Arial" w:hAnsi="Arial" w:cs="Arial"/>
          <w:sz w:val="18"/>
          <w:szCs w:val="18"/>
        </w:rPr>
        <w:t>AtlA</w:t>
      </w:r>
      <w:proofErr w:type="spellEnd"/>
      <w:r w:rsidRPr="002C6187">
        <w:rPr>
          <w:rFonts w:ascii="Arial" w:hAnsi="Arial" w:cs="Arial"/>
          <w:sz w:val="18"/>
          <w:szCs w:val="18"/>
        </w:rPr>
        <w:t xml:space="preserve"> plays a predominant role in cell separation. </w:t>
      </w:r>
      <w:proofErr w:type="spellStart"/>
      <w:r w:rsidRPr="002C6187">
        <w:rPr>
          <w:rFonts w:ascii="Arial" w:hAnsi="Arial" w:cs="Arial"/>
          <w:sz w:val="18"/>
          <w:szCs w:val="18"/>
        </w:rPr>
        <w:t>atlA</w:t>
      </w:r>
      <w:proofErr w:type="spellEnd"/>
      <w:r w:rsidRPr="002C6187">
        <w:rPr>
          <w:rFonts w:ascii="Arial" w:hAnsi="Arial" w:cs="Arial"/>
          <w:sz w:val="18"/>
          <w:szCs w:val="18"/>
        </w:rPr>
        <w:t xml:space="preserve"> mutants form long cell chains and are significantly less virulent in the zebrafish model of infection. The attenuated virulence of </w:t>
      </w:r>
      <w:proofErr w:type="spellStart"/>
      <w:r w:rsidRPr="002C6187">
        <w:rPr>
          <w:rFonts w:ascii="Arial" w:hAnsi="Arial" w:cs="Arial"/>
          <w:sz w:val="18"/>
          <w:szCs w:val="18"/>
        </w:rPr>
        <w:t>atlA</w:t>
      </w:r>
      <w:proofErr w:type="spellEnd"/>
      <w:r w:rsidRPr="002C6187">
        <w:rPr>
          <w:rFonts w:ascii="Arial" w:hAnsi="Arial" w:cs="Arial"/>
          <w:sz w:val="18"/>
          <w:szCs w:val="18"/>
        </w:rPr>
        <w:t xml:space="preserve"> mutants is underpinned by a limited dissemination of bacterial chains in the host organism and a more efficient uptake by phagocytes that clear the infection. </w:t>
      </w:r>
      <w:proofErr w:type="spellStart"/>
      <w:r w:rsidRPr="002C6187">
        <w:rPr>
          <w:rFonts w:ascii="Arial" w:hAnsi="Arial" w:cs="Arial"/>
          <w:sz w:val="18"/>
          <w:szCs w:val="18"/>
        </w:rPr>
        <w:t>AtlA</w:t>
      </w:r>
      <w:proofErr w:type="spellEnd"/>
      <w:r w:rsidRPr="002C6187">
        <w:rPr>
          <w:rFonts w:ascii="Arial" w:hAnsi="Arial" w:cs="Arial"/>
          <w:sz w:val="18"/>
          <w:szCs w:val="18"/>
        </w:rPr>
        <w:t xml:space="preserve"> has structural</w:t>
      </w:r>
    </w:p>
    <w:p w14:paraId="65FEAAF0" w14:textId="77777777" w:rsidR="002C6187" w:rsidRPr="002C6187" w:rsidRDefault="002C6187" w:rsidP="002C6187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  <w:r w:rsidRPr="002C6187">
        <w:rPr>
          <w:rFonts w:ascii="Arial" w:hAnsi="Arial" w:cs="Arial"/>
          <w:sz w:val="18"/>
          <w:szCs w:val="18"/>
        </w:rPr>
        <w:t xml:space="preserve">homologs in other important pathogens, such as Listeria monocytogenes and Salmonella typhimurium, and therefore represents an attractive model to design new inhibitors of bacterial pathogenesis. Here, we provide a 1.45 Å crystal structure of the E. </w:t>
      </w:r>
      <w:proofErr w:type="spellStart"/>
      <w:r w:rsidRPr="002C6187">
        <w:rPr>
          <w:rFonts w:ascii="Arial" w:hAnsi="Arial" w:cs="Arial"/>
          <w:sz w:val="18"/>
          <w:szCs w:val="18"/>
        </w:rPr>
        <w:t>faecalis</w:t>
      </w:r>
      <w:proofErr w:type="spellEnd"/>
      <w:r w:rsidRPr="002C6187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C6187">
        <w:rPr>
          <w:rFonts w:ascii="Arial" w:hAnsi="Arial" w:cs="Arial"/>
          <w:sz w:val="18"/>
          <w:szCs w:val="18"/>
        </w:rPr>
        <w:t>AtlA</w:t>
      </w:r>
      <w:proofErr w:type="spellEnd"/>
      <w:r w:rsidRPr="002C6187">
        <w:rPr>
          <w:rFonts w:ascii="Arial" w:hAnsi="Arial" w:cs="Arial"/>
          <w:sz w:val="18"/>
          <w:szCs w:val="18"/>
        </w:rPr>
        <w:t xml:space="preserve"> catalytic domain that reveals a closed conformation of a conserved </w:t>
      </w:r>
      <w:r w:rsidRPr="002C6187">
        <w:rPr>
          <w:rFonts w:ascii="Arial" w:hAnsi="Arial" w:cs="Arial"/>
          <w:sz w:val="18"/>
          <w:szCs w:val="18"/>
          <w:lang w:val="fr-FR"/>
        </w:rPr>
        <w:t>β</w:t>
      </w:r>
      <w:r w:rsidRPr="002C6187">
        <w:rPr>
          <w:rFonts w:ascii="Arial" w:hAnsi="Arial" w:cs="Arial"/>
          <w:sz w:val="18"/>
          <w:szCs w:val="18"/>
        </w:rPr>
        <w:t>-hairpin and a complex</w:t>
      </w:r>
    </w:p>
    <w:p w14:paraId="7456043C" w14:textId="77777777" w:rsidR="002C6187" w:rsidRDefault="002C6187" w:rsidP="002C618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2C6187">
        <w:rPr>
          <w:rFonts w:ascii="Arial" w:hAnsi="Arial" w:cs="Arial"/>
          <w:sz w:val="18"/>
          <w:szCs w:val="18"/>
        </w:rPr>
        <w:t xml:space="preserve">network of hydrogen bonds that bring two catalytic residues to the ideal distance for an inverting mechanism. Based on the model of the </w:t>
      </w:r>
      <w:proofErr w:type="spellStart"/>
      <w:r w:rsidRPr="002C6187">
        <w:rPr>
          <w:rFonts w:ascii="Arial" w:hAnsi="Arial" w:cs="Arial"/>
          <w:sz w:val="18"/>
          <w:szCs w:val="18"/>
        </w:rPr>
        <w:t>AtlA</w:t>
      </w:r>
      <w:proofErr w:type="spellEnd"/>
      <w:r w:rsidRPr="002C6187">
        <w:rPr>
          <w:rFonts w:ascii="Arial" w:hAnsi="Arial" w:cs="Arial"/>
          <w:sz w:val="18"/>
          <w:szCs w:val="18"/>
        </w:rPr>
        <w:t>–substrate complex, we identify key residues critical for substrate recognition and septum cleavage during</w:t>
      </w:r>
      <w:r>
        <w:rPr>
          <w:rFonts w:ascii="Arial" w:hAnsi="Arial" w:cs="Arial"/>
          <w:sz w:val="18"/>
          <w:szCs w:val="18"/>
        </w:rPr>
        <w:t xml:space="preserve"> </w:t>
      </w:r>
      <w:r w:rsidRPr="002C6187">
        <w:rPr>
          <w:rFonts w:ascii="Arial" w:hAnsi="Arial" w:cs="Arial"/>
          <w:sz w:val="18"/>
          <w:szCs w:val="18"/>
        </w:rPr>
        <w:t>bacterial</w:t>
      </w:r>
    </w:p>
    <w:p w14:paraId="09645C5E" w14:textId="6A286393" w:rsidR="00AE3E37" w:rsidRPr="002C6187" w:rsidRDefault="002C6187" w:rsidP="002C6187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  <w:r>
        <w:rPr>
          <w:rFonts w:ascii="Calibri"/>
          <w:noProof/>
          <w:sz w:val="20"/>
          <w:lang w:val="en-IN" w:eastAsia="en-IN"/>
        </w:rPr>
        <w:drawing>
          <wp:anchor distT="0" distB="0" distL="114300" distR="114300" simplePos="0" relativeHeight="251661824" behindDoc="0" locked="0" layoutInCell="1" allowOverlap="1" wp14:anchorId="368C78F4" wp14:editId="208F8E77">
            <wp:simplePos x="0" y="0"/>
            <wp:positionH relativeFrom="column">
              <wp:posOffset>699383</wp:posOffset>
            </wp:positionH>
            <wp:positionV relativeFrom="paragraph">
              <wp:posOffset>2053811</wp:posOffset>
            </wp:positionV>
            <wp:extent cx="557530" cy="647700"/>
            <wp:effectExtent l="0" t="0" r="1270" b="0"/>
            <wp:wrapSquare wrapText="bothSides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53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C6187">
        <w:rPr>
          <w:rFonts w:ascii="Arial" w:hAnsi="Arial" w:cs="Arial"/>
          <w:sz w:val="18"/>
          <w:szCs w:val="18"/>
        </w:rPr>
        <w:t>growth.</w:t>
      </w:r>
      <w:r w:rsidR="00A9710C">
        <w:br w:type="column"/>
      </w:r>
      <w:r w:rsidR="00A9710C">
        <w:rPr>
          <w:color w:val="BF5A14"/>
        </w:rPr>
        <w:lastRenderedPageBreak/>
        <w:t>Image</w:t>
      </w:r>
    </w:p>
    <w:p w14:paraId="6A383ADE" w14:textId="217B7CB2" w:rsidR="00AE3E37" w:rsidRDefault="002C6187">
      <w:pPr>
        <w:pStyle w:val="BodyText"/>
        <w:spacing w:before="2"/>
        <w:rPr>
          <w:rFonts w:ascii="Arial"/>
          <w:b/>
          <w:sz w:val="16"/>
        </w:rPr>
      </w:pPr>
      <w:r w:rsidRPr="002C6187">
        <w:rPr>
          <w:rFonts w:ascii="Arial"/>
          <w:b/>
          <w:noProof/>
          <w:sz w:val="16"/>
          <w:lang w:val="en-IN" w:eastAsia="en-IN"/>
        </w:rPr>
        <w:drawing>
          <wp:inline distT="0" distB="0" distL="0" distR="0" wp14:anchorId="587A4F91" wp14:editId="7278DB21">
            <wp:extent cx="3165475" cy="2737485"/>
            <wp:effectExtent l="0" t="0" r="0" b="571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273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B8E4F" w14:textId="3E593004" w:rsidR="002C6187" w:rsidRDefault="002C6187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sz w:val="16"/>
        </w:rPr>
        <w:t xml:space="preserve">The </w:t>
      </w:r>
      <w:proofErr w:type="spellStart"/>
      <w:r>
        <w:rPr>
          <w:rFonts w:ascii="Arial"/>
          <w:b/>
          <w:sz w:val="16"/>
        </w:rPr>
        <w:t>AtlA</w:t>
      </w:r>
      <w:proofErr w:type="spellEnd"/>
      <w:r>
        <w:rPr>
          <w:rFonts w:ascii="Arial"/>
          <w:b/>
          <w:sz w:val="16"/>
        </w:rPr>
        <w:t xml:space="preserve"> catalytic mechanism involves the motion of the </w:t>
      </w:r>
      <w:r w:rsidRPr="002C6187">
        <w:rPr>
          <w:rFonts w:ascii="Symbol" w:hAnsi="Symbol"/>
          <w:b/>
          <w:sz w:val="16"/>
        </w:rPr>
        <w:t></w:t>
      </w:r>
      <w:r>
        <w:rPr>
          <w:rFonts w:ascii="Arial"/>
          <w:b/>
          <w:sz w:val="16"/>
        </w:rPr>
        <w:t>-hairpin to close the active site and place the catalytic residues at the right distance to hydrolyze the glycosidic bond using an inverting mechanism.</w:t>
      </w:r>
    </w:p>
    <w:p w14:paraId="0A3743BF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0C52B12D" w14:textId="77777777" w:rsidR="00CB12E2" w:rsidRDefault="00CB12E2" w:rsidP="00CB12E2">
      <w:pPr>
        <w:ind w:left="284" w:hanging="284"/>
      </w:pPr>
    </w:p>
    <w:p w14:paraId="1FB012E4" w14:textId="06A10657" w:rsidR="00CB12E2" w:rsidRPr="00CB12E2" w:rsidRDefault="00CB12E2" w:rsidP="00CB12E2">
      <w:pPr>
        <w:ind w:left="284" w:hanging="284"/>
        <w:rPr>
          <w:rFonts w:asciiTheme="minorHAnsi" w:hAnsiTheme="minorHAnsi" w:cstheme="minorHAnsi"/>
          <w:color w:val="000000"/>
          <w:sz w:val="16"/>
          <w:szCs w:val="16"/>
        </w:rPr>
      </w:pPr>
      <w:r w:rsidRPr="00CB12E2">
        <w:rPr>
          <w:rFonts w:asciiTheme="minorHAnsi" w:hAnsiTheme="minorHAnsi" w:cstheme="minorHAnsi"/>
          <w:color w:val="000000"/>
          <w:sz w:val="16"/>
          <w:szCs w:val="16"/>
          <w:lang w:val="fr-FR"/>
        </w:rPr>
        <w:t xml:space="preserve">1- Fadel F, </w:t>
      </w:r>
      <w:proofErr w:type="spellStart"/>
      <w:r w:rsidRPr="00CB12E2">
        <w:rPr>
          <w:rFonts w:asciiTheme="minorHAnsi" w:hAnsiTheme="minorHAnsi" w:cstheme="minorHAnsi"/>
          <w:color w:val="000000"/>
          <w:sz w:val="16"/>
          <w:szCs w:val="16"/>
          <w:lang w:val="fr-FR"/>
        </w:rPr>
        <w:t>Bassim</w:t>
      </w:r>
      <w:proofErr w:type="spellEnd"/>
      <w:r w:rsidRPr="00CB12E2">
        <w:rPr>
          <w:rFonts w:asciiTheme="minorHAnsi" w:hAnsiTheme="minorHAnsi" w:cstheme="minorHAnsi"/>
          <w:color w:val="000000"/>
          <w:sz w:val="16"/>
          <w:szCs w:val="16"/>
          <w:lang w:val="fr-FR"/>
        </w:rPr>
        <w:t xml:space="preserve"> V, et al. </w:t>
      </w:r>
      <w:r w:rsidRPr="00CB12E2">
        <w:rPr>
          <w:rFonts w:asciiTheme="minorHAnsi" w:hAnsiTheme="minorHAnsi" w:cstheme="minorHAnsi"/>
          <w:color w:val="000000"/>
          <w:sz w:val="16"/>
          <w:szCs w:val="16"/>
        </w:rPr>
        <w:t xml:space="preserve">(2022) Insights into the atypical </w:t>
      </w:r>
      <w:proofErr w:type="spellStart"/>
      <w:r w:rsidRPr="00CB12E2">
        <w:rPr>
          <w:rFonts w:asciiTheme="minorHAnsi" w:hAnsiTheme="minorHAnsi" w:cstheme="minorHAnsi"/>
          <w:color w:val="000000"/>
          <w:sz w:val="16"/>
          <w:szCs w:val="16"/>
        </w:rPr>
        <w:t>autokinase</w:t>
      </w:r>
      <w:proofErr w:type="spellEnd"/>
      <w:r w:rsidRPr="00CB12E2">
        <w:rPr>
          <w:rFonts w:asciiTheme="minorHAnsi" w:hAnsiTheme="minorHAnsi" w:cstheme="minorHAnsi"/>
          <w:color w:val="000000"/>
          <w:sz w:val="16"/>
          <w:szCs w:val="16"/>
        </w:rPr>
        <w:t xml:space="preserve"> activity of the </w:t>
      </w:r>
      <w:r w:rsidRPr="00CB12E2">
        <w:rPr>
          <w:rFonts w:asciiTheme="minorHAnsi" w:hAnsiTheme="minorHAnsi" w:cstheme="minorHAnsi"/>
          <w:b/>
          <w:bCs/>
          <w:color w:val="000000"/>
          <w:sz w:val="16"/>
          <w:szCs w:val="16"/>
        </w:rPr>
        <w:t>Pseudomonas</w:t>
      </w:r>
      <w:r w:rsidRPr="00CB12E2">
        <w:rPr>
          <w:rFonts w:asciiTheme="minorHAnsi" w:hAnsiTheme="minorHAnsi" w:cstheme="minorHAnsi"/>
          <w:color w:val="000000"/>
          <w:sz w:val="16"/>
          <w:szCs w:val="16"/>
        </w:rPr>
        <w:t xml:space="preserve"> </w:t>
      </w:r>
      <w:proofErr w:type="spellStart"/>
      <w:r w:rsidRPr="00CB12E2">
        <w:rPr>
          <w:rFonts w:asciiTheme="minorHAnsi" w:hAnsiTheme="minorHAnsi" w:cstheme="minorHAnsi"/>
          <w:color w:val="000000"/>
          <w:sz w:val="16"/>
          <w:szCs w:val="16"/>
        </w:rPr>
        <w:t>aeruginosa</w:t>
      </w:r>
      <w:proofErr w:type="spellEnd"/>
      <w:r w:rsidRPr="00CB12E2">
        <w:rPr>
          <w:rFonts w:asciiTheme="minorHAnsi" w:hAnsiTheme="minorHAnsi" w:cstheme="minorHAnsi"/>
          <w:color w:val="000000"/>
          <w:sz w:val="16"/>
          <w:szCs w:val="16"/>
        </w:rPr>
        <w:t xml:space="preserve"> </w:t>
      </w:r>
      <w:proofErr w:type="spellStart"/>
      <w:r w:rsidRPr="00CB12E2">
        <w:rPr>
          <w:rFonts w:asciiTheme="minorHAnsi" w:hAnsiTheme="minorHAnsi" w:cstheme="minorHAnsi"/>
          <w:b/>
          <w:bCs/>
          <w:color w:val="000000"/>
          <w:sz w:val="16"/>
          <w:szCs w:val="16"/>
        </w:rPr>
        <w:t>GacS</w:t>
      </w:r>
      <w:proofErr w:type="spellEnd"/>
      <w:r w:rsidRPr="00CB12E2">
        <w:rPr>
          <w:rFonts w:asciiTheme="minorHAnsi" w:hAnsiTheme="minorHAnsi" w:cstheme="minorHAnsi"/>
          <w:color w:val="000000"/>
          <w:sz w:val="16"/>
          <w:szCs w:val="16"/>
        </w:rPr>
        <w:t xml:space="preserve"> </w:t>
      </w:r>
      <w:proofErr w:type="spellStart"/>
      <w:r w:rsidRPr="00CB12E2">
        <w:rPr>
          <w:rFonts w:asciiTheme="minorHAnsi" w:hAnsiTheme="minorHAnsi" w:cstheme="minorHAnsi"/>
          <w:color w:val="000000"/>
          <w:sz w:val="16"/>
          <w:szCs w:val="16"/>
        </w:rPr>
        <w:t>histidine</w:t>
      </w:r>
      <w:proofErr w:type="spellEnd"/>
      <w:r w:rsidRPr="00CB12E2">
        <w:rPr>
          <w:rFonts w:asciiTheme="minorHAnsi" w:hAnsiTheme="minorHAnsi" w:cstheme="minorHAnsi"/>
          <w:color w:val="000000"/>
          <w:sz w:val="16"/>
          <w:szCs w:val="16"/>
        </w:rPr>
        <w:t xml:space="preserve"> kinase and its interaction with </w:t>
      </w:r>
      <w:proofErr w:type="spellStart"/>
      <w:r w:rsidRPr="00CB12E2">
        <w:rPr>
          <w:rFonts w:asciiTheme="minorHAnsi" w:hAnsiTheme="minorHAnsi" w:cstheme="minorHAnsi"/>
          <w:color w:val="000000"/>
          <w:sz w:val="16"/>
          <w:szCs w:val="16"/>
        </w:rPr>
        <w:t>RetS</w:t>
      </w:r>
      <w:proofErr w:type="spellEnd"/>
      <w:r w:rsidRPr="00CB12E2">
        <w:rPr>
          <w:rFonts w:asciiTheme="minorHAnsi" w:hAnsiTheme="minorHAnsi" w:cstheme="minorHAnsi"/>
          <w:color w:val="000000"/>
          <w:sz w:val="16"/>
          <w:szCs w:val="16"/>
        </w:rPr>
        <w:t xml:space="preserve"> (2022) </w:t>
      </w:r>
      <w:r w:rsidRPr="00CB12E2">
        <w:rPr>
          <w:rFonts w:asciiTheme="minorHAnsi" w:hAnsiTheme="minorHAnsi" w:cstheme="minorHAnsi"/>
          <w:i/>
          <w:iCs/>
          <w:color w:val="000000"/>
          <w:sz w:val="16"/>
          <w:szCs w:val="16"/>
        </w:rPr>
        <w:t>Structure</w:t>
      </w:r>
      <w:r w:rsidRPr="00CB12E2">
        <w:rPr>
          <w:rFonts w:asciiTheme="minorHAnsi" w:hAnsiTheme="minorHAnsi" w:cstheme="minorHAnsi"/>
          <w:color w:val="000000"/>
          <w:sz w:val="16"/>
          <w:szCs w:val="16"/>
        </w:rPr>
        <w:t>. S0969-2126(22)00233-7.</w:t>
      </w:r>
    </w:p>
    <w:p w14:paraId="00E0EEBC" w14:textId="1AE963A9" w:rsidR="00CB12E2" w:rsidRPr="00CB12E2" w:rsidRDefault="00CB12E2" w:rsidP="00CB12E2">
      <w:pPr>
        <w:ind w:left="284" w:hanging="284"/>
        <w:rPr>
          <w:rFonts w:asciiTheme="minorHAnsi" w:hAnsiTheme="minorHAnsi" w:cstheme="minorHAnsi"/>
          <w:sz w:val="16"/>
          <w:szCs w:val="16"/>
        </w:rPr>
      </w:pPr>
      <w:r w:rsidRPr="00CB12E2">
        <w:rPr>
          <w:rFonts w:asciiTheme="minorHAnsi" w:hAnsiTheme="minorHAnsi" w:cstheme="minorHAnsi"/>
          <w:sz w:val="16"/>
          <w:szCs w:val="16"/>
          <w:lang w:val="fr-FR"/>
        </w:rPr>
        <w:t xml:space="preserve">2- Zamboni V., </w:t>
      </w:r>
      <w:proofErr w:type="spellStart"/>
      <w:r w:rsidRPr="00CB12E2">
        <w:rPr>
          <w:rFonts w:asciiTheme="minorHAnsi" w:hAnsiTheme="minorHAnsi" w:cstheme="minorHAnsi"/>
          <w:sz w:val="16"/>
          <w:szCs w:val="16"/>
          <w:lang w:val="fr-FR"/>
        </w:rPr>
        <w:t>Barelier</w:t>
      </w:r>
      <w:proofErr w:type="spellEnd"/>
      <w:r w:rsidRPr="00CB12E2">
        <w:rPr>
          <w:rFonts w:asciiTheme="minorHAnsi" w:hAnsiTheme="minorHAnsi" w:cstheme="minorHAnsi"/>
          <w:sz w:val="16"/>
          <w:szCs w:val="16"/>
          <w:lang w:val="fr-FR"/>
        </w:rPr>
        <w:t xml:space="preserve"> S., et al. </w:t>
      </w:r>
      <w:r w:rsidRPr="00CB12E2">
        <w:rPr>
          <w:rFonts w:asciiTheme="minorHAnsi" w:hAnsiTheme="minorHAnsi" w:cstheme="minorHAnsi"/>
          <w:sz w:val="16"/>
          <w:szCs w:val="16"/>
        </w:rPr>
        <w:t xml:space="preserve">(2022) Molecular basis for substrate recognition and septum cleavage by </w:t>
      </w:r>
      <w:proofErr w:type="spellStart"/>
      <w:r w:rsidRPr="00CB12E2">
        <w:rPr>
          <w:rFonts w:asciiTheme="minorHAnsi" w:hAnsiTheme="minorHAnsi" w:cstheme="minorHAnsi"/>
          <w:sz w:val="16"/>
          <w:szCs w:val="16"/>
        </w:rPr>
        <w:t>AtlA</w:t>
      </w:r>
      <w:proofErr w:type="spellEnd"/>
      <w:r w:rsidRPr="00CB12E2">
        <w:rPr>
          <w:rFonts w:asciiTheme="minorHAnsi" w:hAnsiTheme="minorHAnsi" w:cstheme="minorHAnsi"/>
          <w:sz w:val="16"/>
          <w:szCs w:val="16"/>
        </w:rPr>
        <w:t xml:space="preserve">, the major </w:t>
      </w:r>
      <w:proofErr w:type="spellStart"/>
      <w:r w:rsidRPr="00CB12E2">
        <w:rPr>
          <w:rFonts w:asciiTheme="minorHAnsi" w:hAnsiTheme="minorHAnsi" w:cstheme="minorHAnsi"/>
          <w:sz w:val="16"/>
          <w:szCs w:val="16"/>
        </w:rPr>
        <w:t>Nacetylglucosaminidase</w:t>
      </w:r>
      <w:proofErr w:type="spellEnd"/>
      <w:r w:rsidRPr="00CB12E2">
        <w:rPr>
          <w:rFonts w:asciiTheme="minorHAnsi" w:hAnsiTheme="minorHAnsi" w:cstheme="minorHAnsi"/>
          <w:sz w:val="16"/>
          <w:szCs w:val="16"/>
        </w:rPr>
        <w:t xml:space="preserve"> of Enterococcus faecalis. </w:t>
      </w:r>
      <w:r w:rsidRPr="00CB12E2">
        <w:rPr>
          <w:rFonts w:asciiTheme="minorHAnsi" w:hAnsiTheme="minorHAnsi" w:cstheme="minorHAnsi"/>
          <w:i/>
          <w:iCs/>
          <w:sz w:val="16"/>
          <w:szCs w:val="16"/>
        </w:rPr>
        <w:t>J Biol Chem</w:t>
      </w:r>
      <w:r w:rsidRPr="00CB12E2">
        <w:rPr>
          <w:rFonts w:asciiTheme="minorHAnsi" w:hAnsiTheme="minorHAnsi" w:cstheme="minorHAnsi"/>
          <w:sz w:val="16"/>
          <w:szCs w:val="16"/>
        </w:rPr>
        <w:t xml:space="preserve"> 298(5):101915</w:t>
      </w:r>
    </w:p>
    <w:p w14:paraId="263F453F" w14:textId="785B95B4" w:rsidR="00CB12E2" w:rsidRPr="00CB12E2" w:rsidRDefault="00CB12E2" w:rsidP="00CB12E2">
      <w:pPr>
        <w:ind w:left="284" w:hanging="284"/>
        <w:rPr>
          <w:rFonts w:asciiTheme="minorHAnsi" w:hAnsiTheme="minorHAnsi" w:cstheme="minorHAnsi"/>
          <w:sz w:val="16"/>
          <w:szCs w:val="16"/>
        </w:rPr>
      </w:pPr>
      <w:r w:rsidRPr="00CB12E2">
        <w:rPr>
          <w:rFonts w:asciiTheme="minorHAnsi" w:hAnsiTheme="minorHAnsi" w:cstheme="minorHAnsi"/>
          <w:sz w:val="16"/>
          <w:szCs w:val="16"/>
          <w:lang w:val="fr-FR"/>
        </w:rPr>
        <w:t xml:space="preserve">3- </w:t>
      </w:r>
      <w:proofErr w:type="spellStart"/>
      <w:r w:rsidRPr="00CB12E2">
        <w:rPr>
          <w:rStyle w:val="nova-e-checkboxlabel"/>
          <w:rFonts w:asciiTheme="minorHAnsi" w:hAnsiTheme="minorHAnsi" w:cstheme="minorHAnsi"/>
          <w:sz w:val="16"/>
          <w:szCs w:val="16"/>
          <w:lang w:val="fr-FR"/>
        </w:rPr>
        <w:t>Bakli</w:t>
      </w:r>
      <w:proofErr w:type="spellEnd"/>
      <w:r w:rsidRPr="00CB12E2">
        <w:rPr>
          <w:rStyle w:val="nova-e-checkboxlabel"/>
          <w:rFonts w:asciiTheme="minorHAnsi" w:hAnsiTheme="minorHAnsi" w:cstheme="minorHAnsi"/>
          <w:sz w:val="16"/>
          <w:szCs w:val="16"/>
          <w:lang w:val="fr-FR"/>
        </w:rPr>
        <w:t xml:space="preserve"> M et al.</w:t>
      </w:r>
      <w:r w:rsidRPr="00CB12E2">
        <w:rPr>
          <w:rFonts w:asciiTheme="minorHAnsi" w:hAnsiTheme="minorHAnsi" w:cstheme="minorHAnsi"/>
          <w:sz w:val="16"/>
          <w:szCs w:val="16"/>
        </w:rPr>
        <w:t xml:space="preserve"> (2020) Biochemical characterization of a glycosyltransferase Gtf3 from Mycobacterium smegmatis: a case study of improved protein solubilization 3 Biotech 10(10):436.</w:t>
      </w:r>
    </w:p>
    <w:p w14:paraId="4CCA1DAA" w14:textId="592DA4D0" w:rsidR="00CB12E2" w:rsidRPr="00CB12E2" w:rsidRDefault="00CB12E2" w:rsidP="00CB12E2">
      <w:pPr>
        <w:ind w:left="284" w:hanging="284"/>
        <w:rPr>
          <w:rFonts w:asciiTheme="minorHAnsi" w:hAnsiTheme="minorHAnsi" w:cstheme="minorHAnsi"/>
          <w:sz w:val="16"/>
          <w:szCs w:val="16"/>
        </w:rPr>
      </w:pPr>
      <w:r w:rsidRPr="00CB12E2">
        <w:rPr>
          <w:rFonts w:asciiTheme="minorHAnsi" w:hAnsiTheme="minorHAnsi" w:cstheme="minorHAnsi"/>
          <w:sz w:val="16"/>
          <w:szCs w:val="16"/>
        </w:rPr>
        <w:t xml:space="preserve">4- The </w:t>
      </w:r>
      <w:proofErr w:type="spellStart"/>
      <w:r w:rsidRPr="00CB12E2">
        <w:rPr>
          <w:rFonts w:asciiTheme="minorHAnsi" w:hAnsiTheme="minorHAnsi" w:cstheme="minorHAnsi"/>
          <w:sz w:val="16"/>
          <w:szCs w:val="16"/>
        </w:rPr>
        <w:t>CAZypedia</w:t>
      </w:r>
      <w:proofErr w:type="spellEnd"/>
      <w:r w:rsidRPr="00CB12E2">
        <w:rPr>
          <w:rFonts w:asciiTheme="minorHAnsi" w:hAnsiTheme="minorHAnsi" w:cstheme="minorHAnsi"/>
          <w:sz w:val="16"/>
          <w:szCs w:val="16"/>
        </w:rPr>
        <w:t xml:space="preserve"> Consortium (2018) Ten years of </w:t>
      </w:r>
      <w:proofErr w:type="spellStart"/>
      <w:r w:rsidRPr="00CB12E2">
        <w:rPr>
          <w:rFonts w:asciiTheme="minorHAnsi" w:hAnsiTheme="minorHAnsi" w:cstheme="minorHAnsi"/>
          <w:sz w:val="16"/>
          <w:szCs w:val="16"/>
        </w:rPr>
        <w:t>CAZypedia</w:t>
      </w:r>
      <w:proofErr w:type="spellEnd"/>
      <w:r w:rsidRPr="00CB12E2">
        <w:rPr>
          <w:rFonts w:asciiTheme="minorHAnsi" w:hAnsiTheme="minorHAnsi" w:cstheme="minorHAnsi"/>
          <w:sz w:val="16"/>
          <w:szCs w:val="16"/>
        </w:rPr>
        <w:t xml:space="preserve">: a living encyclopedia of </w:t>
      </w:r>
      <w:r w:rsidRPr="00CB12E2">
        <w:rPr>
          <w:rFonts w:asciiTheme="minorHAnsi" w:hAnsiTheme="minorHAnsi" w:cstheme="minorHAnsi"/>
          <w:sz w:val="16"/>
          <w:szCs w:val="16"/>
        </w:rPr>
        <w:tab/>
        <w:t xml:space="preserve">carbohydrate-active enzymes. </w:t>
      </w:r>
      <w:r w:rsidRPr="00CB12E2">
        <w:rPr>
          <w:rFonts w:asciiTheme="minorHAnsi" w:hAnsiTheme="minorHAnsi" w:cstheme="minorHAnsi"/>
          <w:i/>
          <w:sz w:val="16"/>
          <w:szCs w:val="16"/>
        </w:rPr>
        <w:t>Glycobiology</w:t>
      </w:r>
      <w:r w:rsidRPr="00CB12E2">
        <w:rPr>
          <w:rFonts w:asciiTheme="minorHAnsi" w:hAnsiTheme="minorHAnsi" w:cstheme="minorHAnsi"/>
          <w:sz w:val="16"/>
          <w:szCs w:val="16"/>
        </w:rPr>
        <w:t xml:space="preserve"> (28</w:t>
      </w:r>
      <w:proofErr w:type="gramStart"/>
      <w:r w:rsidRPr="00CB12E2">
        <w:rPr>
          <w:rFonts w:asciiTheme="minorHAnsi" w:hAnsiTheme="minorHAnsi" w:cstheme="minorHAnsi"/>
          <w:sz w:val="16"/>
          <w:szCs w:val="16"/>
        </w:rPr>
        <w:t>) :</w:t>
      </w:r>
      <w:proofErr w:type="gramEnd"/>
      <w:r w:rsidRPr="00CB12E2">
        <w:rPr>
          <w:rFonts w:asciiTheme="minorHAnsi" w:hAnsiTheme="minorHAnsi" w:cstheme="minorHAnsi"/>
          <w:sz w:val="16"/>
          <w:szCs w:val="16"/>
        </w:rPr>
        <w:t xml:space="preserve"> 1, 3–8</w:t>
      </w:r>
    </w:p>
    <w:p w14:paraId="1ABA13E4" w14:textId="20311A9B" w:rsidR="00CB12E2" w:rsidRPr="00CB12E2" w:rsidRDefault="00CB12E2" w:rsidP="00CB12E2">
      <w:pPr>
        <w:ind w:left="284" w:hanging="284"/>
        <w:rPr>
          <w:rFonts w:asciiTheme="minorHAnsi" w:hAnsiTheme="minorHAnsi" w:cstheme="minorHAnsi"/>
          <w:sz w:val="16"/>
          <w:szCs w:val="16"/>
        </w:rPr>
      </w:pPr>
      <w:r w:rsidRPr="00CB12E2">
        <w:rPr>
          <w:rFonts w:asciiTheme="minorHAnsi" w:hAnsiTheme="minorHAnsi" w:cstheme="minorHAnsi"/>
          <w:sz w:val="16"/>
          <w:szCs w:val="16"/>
          <w:lang w:val="fr-FR"/>
        </w:rPr>
        <w:t xml:space="preserve">5- Ali-Ahmad A, et al.  </w:t>
      </w:r>
      <w:r w:rsidRPr="00CB12E2">
        <w:rPr>
          <w:rFonts w:asciiTheme="minorHAnsi" w:hAnsiTheme="minorHAnsi" w:cstheme="minorHAnsi"/>
          <w:sz w:val="16"/>
          <w:szCs w:val="16"/>
        </w:rPr>
        <w:t xml:space="preserve">(2017) Structural and functional insights into the periplasmic detector domain of the </w:t>
      </w:r>
      <w:proofErr w:type="spellStart"/>
      <w:r w:rsidRPr="00CB12E2">
        <w:rPr>
          <w:rFonts w:asciiTheme="minorHAnsi" w:hAnsiTheme="minorHAnsi" w:cstheme="minorHAnsi"/>
          <w:sz w:val="16"/>
          <w:szCs w:val="16"/>
        </w:rPr>
        <w:t>GacS</w:t>
      </w:r>
      <w:proofErr w:type="spellEnd"/>
      <w:r w:rsidRPr="00CB12E2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CB12E2">
        <w:rPr>
          <w:rFonts w:asciiTheme="minorHAnsi" w:hAnsiTheme="minorHAnsi" w:cstheme="minorHAnsi"/>
          <w:sz w:val="16"/>
          <w:szCs w:val="16"/>
        </w:rPr>
        <w:t>histidine</w:t>
      </w:r>
      <w:proofErr w:type="spellEnd"/>
      <w:r w:rsidRPr="00CB12E2">
        <w:rPr>
          <w:rFonts w:asciiTheme="minorHAnsi" w:hAnsiTheme="minorHAnsi" w:cstheme="minorHAnsi"/>
          <w:sz w:val="16"/>
          <w:szCs w:val="16"/>
        </w:rPr>
        <w:t xml:space="preserve"> kinase controlling biofilm formation in Pseudomonas aeruginosa. Sci Rep. 7(1):11262  </w:t>
      </w:r>
    </w:p>
    <w:p w14:paraId="66024472" w14:textId="6A6F0488" w:rsidR="00AE3E37" w:rsidRDefault="00AE3E37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0008C2CD" w14:textId="16D677EA" w:rsidR="00AE3E37" w:rsidRDefault="00CB12E2">
      <w:pPr>
        <w:pStyle w:val="BodyText"/>
        <w:rPr>
          <w:rFonts w:ascii="Calibri"/>
          <w:sz w:val="20"/>
        </w:rPr>
      </w:pPr>
      <w:r>
        <w:rPr>
          <w:rFonts w:ascii="Calibri"/>
          <w:noProof/>
          <w:sz w:val="20"/>
          <w:lang w:val="en-IN" w:eastAsia="en-IN"/>
        </w:rPr>
        <w:lastRenderedPageBreak/>
        <w:drawing>
          <wp:anchor distT="0" distB="0" distL="114300" distR="114300" simplePos="0" relativeHeight="251662848" behindDoc="0" locked="0" layoutInCell="1" allowOverlap="1" wp14:anchorId="45AB6018" wp14:editId="5B9C1D16">
            <wp:simplePos x="0" y="0"/>
            <wp:positionH relativeFrom="column">
              <wp:posOffset>5563235</wp:posOffset>
            </wp:positionH>
            <wp:positionV relativeFrom="paragraph">
              <wp:posOffset>257810</wp:posOffset>
            </wp:positionV>
            <wp:extent cx="1139825" cy="546100"/>
            <wp:effectExtent l="0" t="0" r="0" b="0"/>
            <wp:wrapSquare wrapText="bothSides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9825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25EFD6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4394ADC3" wp14:editId="39DAFCC3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624C0D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" strokecolor="#004080" strokeweight="2pt"/>
                <w10:anchorlock/>
              </v:group>
            </w:pict>
          </mc:Fallback>
        </mc:AlternateContent>
      </w:r>
    </w:p>
    <w:p w14:paraId="296EDBE2" w14:textId="1EBF6576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  <w:r w:rsidR="00A52075"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F62706" w14:textId="0A9A1977" w:rsidR="00AE3E37" w:rsidRPr="002C6187" w:rsidRDefault="002C6187">
      <w:pPr>
        <w:spacing w:before="41" w:line="154" w:lineRule="exact"/>
        <w:ind w:left="213" w:right="231"/>
        <w:jc w:val="both"/>
        <w:rPr>
          <w:rFonts w:ascii="Arial" w:hAnsi="Arial" w:cs="Arial"/>
          <w:sz w:val="14"/>
          <w:szCs w:val="14"/>
        </w:rPr>
      </w:pPr>
      <w:r w:rsidRPr="002C6187">
        <w:rPr>
          <w:rFonts w:ascii="Arial" w:hAnsi="Arial" w:cs="Arial"/>
          <w:sz w:val="14"/>
          <w:szCs w:val="14"/>
        </w:rPr>
        <w:t xml:space="preserve">Florence Vincent obtained a PhD in 2001 in Structural Biology from the University of Aix-Marseille (mentor: </w:t>
      </w:r>
      <w:proofErr w:type="spellStart"/>
      <w:r w:rsidRPr="002C6187">
        <w:rPr>
          <w:rFonts w:ascii="Arial" w:hAnsi="Arial" w:cs="Arial"/>
          <w:sz w:val="14"/>
          <w:szCs w:val="14"/>
        </w:rPr>
        <w:t>Dr</w:t>
      </w:r>
      <w:proofErr w:type="spellEnd"/>
      <w:r w:rsidRPr="002C6187">
        <w:rPr>
          <w:rFonts w:ascii="Arial" w:hAnsi="Arial" w:cs="Arial"/>
          <w:sz w:val="14"/>
          <w:szCs w:val="14"/>
        </w:rPr>
        <w:t xml:space="preserve"> Christian </w:t>
      </w:r>
      <w:proofErr w:type="spellStart"/>
      <w:r w:rsidRPr="002C6187">
        <w:rPr>
          <w:rFonts w:ascii="Arial" w:hAnsi="Arial" w:cs="Arial"/>
          <w:sz w:val="14"/>
          <w:szCs w:val="14"/>
        </w:rPr>
        <w:t>Cambillau</w:t>
      </w:r>
      <w:proofErr w:type="spellEnd"/>
      <w:r w:rsidRPr="002C6187">
        <w:rPr>
          <w:rFonts w:ascii="Arial" w:hAnsi="Arial" w:cs="Arial"/>
          <w:sz w:val="14"/>
          <w:szCs w:val="14"/>
        </w:rPr>
        <w:t xml:space="preserve">), and post-doctoral training in 2001-2004 at York Structural Biology Laboratory, Dept. Chemistry (mentor: Dr Gideon Davies), UK. She is currently a research scientist in the team “Structural Glycobiology and Neurobiology” at the Architecture and Function of Biological Macromolecules Laboratory, </w:t>
      </w:r>
      <w:bookmarkStart w:id="0" w:name="_GoBack"/>
      <w:r w:rsidRPr="002C6187">
        <w:rPr>
          <w:rFonts w:ascii="Arial" w:hAnsi="Arial" w:cs="Arial"/>
          <w:sz w:val="14"/>
          <w:szCs w:val="14"/>
        </w:rPr>
        <w:t>Aix-Marseille University</w:t>
      </w:r>
      <w:bookmarkEnd w:id="0"/>
      <w:r w:rsidRPr="002C6187">
        <w:rPr>
          <w:rFonts w:ascii="Arial" w:hAnsi="Arial" w:cs="Arial"/>
          <w:sz w:val="14"/>
          <w:szCs w:val="14"/>
        </w:rPr>
        <w:t>, Marseille, France. Her current interests are the structure and function of enzymes involved in bacterial cell wall lysis and biofilm development by pathogenic bacteria.</w:t>
      </w:r>
    </w:p>
    <w:p w14:paraId="2A43D451" w14:textId="310D9A2E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2C6187" w:rsidRPr="005840A1">
          <w:rPr>
            <w:rStyle w:val="Hyperlink"/>
            <w:rFonts w:ascii="Arial"/>
            <w:sz w:val="14"/>
          </w:rPr>
          <w:t>fvincent.cnrs@univ-amu.fr</w:t>
        </w:r>
      </w:hyperlink>
    </w:p>
    <w:p w14:paraId="781747F9" w14:textId="6B423B57" w:rsidR="00AE3E37" w:rsidRPr="00CB12E2" w:rsidRDefault="00292ED9" w:rsidP="00CB12E2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B7383C3" wp14:editId="69928F9A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08DCE1A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" strokecolor="#004080" strokeweight=".5pt">
                <w10:wrap type="topAndBottom" anchorx="page"/>
              </v:line>
            </w:pict>
          </mc:Fallback>
        </mc:AlternateContent>
      </w:r>
    </w:p>
    <w:p w14:paraId="303103FC" w14:textId="77777777" w:rsidR="00AE3E37" w:rsidRDefault="00A9710C" w:rsidP="000534A1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3EFE33FD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391D37B8" w14:textId="239090F8"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 w:rsidR="002C6187">
        <w:rPr>
          <w:sz w:val="20"/>
          <w:szCs w:val="20"/>
          <w:lang w:val="en-NZ"/>
        </w:rPr>
        <w:t>Florence Vincent</w:t>
      </w:r>
      <w:r w:rsidRPr="00F35A62">
        <w:rPr>
          <w:sz w:val="20"/>
          <w:szCs w:val="20"/>
          <w:lang w:val="en-NZ"/>
        </w:rPr>
        <w:br/>
        <w:t>Contact number:</w:t>
      </w:r>
      <w:r w:rsidRPr="00F35A62">
        <w:rPr>
          <w:sz w:val="20"/>
          <w:szCs w:val="20"/>
          <w:lang w:val="en-NZ"/>
        </w:rPr>
        <w:br/>
        <w:t>Twitter account:</w:t>
      </w:r>
      <w:r w:rsidRPr="00F35A62">
        <w:rPr>
          <w:sz w:val="20"/>
          <w:szCs w:val="20"/>
          <w:lang w:val="en-NZ"/>
        </w:rPr>
        <w:br/>
        <w:t>Linked In account:</w:t>
      </w:r>
      <w:r w:rsidR="002C6187">
        <w:rPr>
          <w:sz w:val="20"/>
          <w:szCs w:val="20"/>
          <w:lang w:val="en-NZ"/>
        </w:rPr>
        <w:t xml:space="preserve"> </w:t>
      </w:r>
      <w:r w:rsidR="002C6187" w:rsidRPr="002C6187">
        <w:rPr>
          <w:sz w:val="20"/>
          <w:szCs w:val="20"/>
          <w:lang w:val="en-NZ"/>
        </w:rPr>
        <w:t>https://www.linkedin.com/in/florence-vincent-6516685/</w:t>
      </w:r>
    </w:p>
    <w:p w14:paraId="6966ED65" w14:textId="5260CE06" w:rsidR="00EA7D51" w:rsidRPr="00CB12E2" w:rsidRDefault="00EA7D51" w:rsidP="00CB12E2">
      <w:pPr>
        <w:autoSpaceDE w:val="0"/>
        <w:autoSpaceDN w:val="0"/>
        <w:adjustRightInd w:val="0"/>
        <w:rPr>
          <w:sz w:val="20"/>
          <w:szCs w:val="20"/>
          <w:lang w:val="en-NZ"/>
        </w:rPr>
        <w:sectPr w:rsidR="00EA7D51" w:rsidRPr="00CB12E2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 w:rsidRPr="00F35A62">
        <w:rPr>
          <w:sz w:val="20"/>
          <w:szCs w:val="20"/>
          <w:lang w:val="en-NZ"/>
        </w:rPr>
        <w:t xml:space="preserve">Session name/ number: </w:t>
      </w:r>
      <w:r w:rsidR="002C6187">
        <w:rPr>
          <w:sz w:val="20"/>
          <w:szCs w:val="20"/>
          <w:lang w:val="en-NZ"/>
        </w:rPr>
        <w:t>Glycobiology</w:t>
      </w:r>
      <w:r w:rsidRPr="00F35A62">
        <w:rPr>
          <w:sz w:val="20"/>
          <w:szCs w:val="20"/>
          <w:lang w:val="en-NZ"/>
        </w:rPr>
        <w:br/>
        <w:t xml:space="preserve">Category: (Oral presentation/ </w:t>
      </w:r>
      <w:r w:rsidRPr="002C6187">
        <w:rPr>
          <w:strike/>
          <w:sz w:val="20"/>
          <w:szCs w:val="20"/>
          <w:lang w:val="en-NZ"/>
        </w:rPr>
        <w:t>Poster presentation</w:t>
      </w:r>
      <w:r w:rsidRPr="00F35A62">
        <w:rPr>
          <w:sz w:val="20"/>
          <w:szCs w:val="20"/>
          <w:lang w:val="en-NZ"/>
        </w:rPr>
        <w:t>)</w:t>
      </w:r>
    </w:p>
    <w:p w14:paraId="2CAE1DD9" w14:textId="77777777"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B4D7A2" w14:textId="77777777" w:rsidR="00442C03" w:rsidRDefault="00442C03">
      <w:r>
        <w:separator/>
      </w:r>
    </w:p>
  </w:endnote>
  <w:endnote w:type="continuationSeparator" w:id="0">
    <w:p w14:paraId="099FAA15" w14:textId="77777777" w:rsidR="00442C03" w:rsidRDefault="00442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0FD557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129C970" wp14:editId="0B2195E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3715D7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154D95E0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129C97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" filled="f" stroked="f">
              <v:textbox inset="0,0,0,0">
                <w:txbxContent>
                  <w:p w14:paraId="0D3715D7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154D95E0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281361C" wp14:editId="52058C90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C8394F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4A4B3BA7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2281361C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" filled="f" stroked="f">
              <v:textbox inset="0,0,0,0">
                <w:txbxContent>
                  <w:p w14:paraId="06C8394F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4A4B3BA7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9EE5996" wp14:editId="07EFB134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32EF57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2614E5F3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39EE5996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" filled="f" stroked="f">
              <v:textbox inset="0,0,0,0">
                <w:txbxContent>
                  <w:p w14:paraId="7D32EF57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2614E5F3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9BFBAF" w14:textId="77777777" w:rsidR="00442C03" w:rsidRDefault="00442C03">
      <w:r>
        <w:separator/>
      </w:r>
    </w:p>
  </w:footnote>
  <w:footnote w:type="continuationSeparator" w:id="0">
    <w:p w14:paraId="0121829E" w14:textId="77777777" w:rsidR="00442C03" w:rsidRDefault="00442C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34A1"/>
    <w:rsid w:val="0006797A"/>
    <w:rsid w:val="000842EB"/>
    <w:rsid w:val="0009455B"/>
    <w:rsid w:val="000B4CAA"/>
    <w:rsid w:val="000E2911"/>
    <w:rsid w:val="001263DF"/>
    <w:rsid w:val="00292ED9"/>
    <w:rsid w:val="002C6187"/>
    <w:rsid w:val="00351D9B"/>
    <w:rsid w:val="00380299"/>
    <w:rsid w:val="00404E5B"/>
    <w:rsid w:val="00414F7B"/>
    <w:rsid w:val="004355DC"/>
    <w:rsid w:val="00442C03"/>
    <w:rsid w:val="004749B4"/>
    <w:rsid w:val="00475D20"/>
    <w:rsid w:val="00494130"/>
    <w:rsid w:val="004F3523"/>
    <w:rsid w:val="00590D60"/>
    <w:rsid w:val="005973B9"/>
    <w:rsid w:val="005B3A56"/>
    <w:rsid w:val="006060CE"/>
    <w:rsid w:val="0061505C"/>
    <w:rsid w:val="0063497F"/>
    <w:rsid w:val="00714354"/>
    <w:rsid w:val="00873DF0"/>
    <w:rsid w:val="008756E6"/>
    <w:rsid w:val="00897EC5"/>
    <w:rsid w:val="008A0763"/>
    <w:rsid w:val="008E5477"/>
    <w:rsid w:val="009B2D44"/>
    <w:rsid w:val="00A07E82"/>
    <w:rsid w:val="00A52075"/>
    <w:rsid w:val="00A9710C"/>
    <w:rsid w:val="00AE3E37"/>
    <w:rsid w:val="00B21A57"/>
    <w:rsid w:val="00BE6743"/>
    <w:rsid w:val="00C33602"/>
    <w:rsid w:val="00C56C74"/>
    <w:rsid w:val="00CB12E2"/>
    <w:rsid w:val="00CD6F55"/>
    <w:rsid w:val="00DE3104"/>
    <w:rsid w:val="00DE6170"/>
    <w:rsid w:val="00E30AAC"/>
    <w:rsid w:val="00E95D97"/>
    <w:rsid w:val="00EA7D51"/>
    <w:rsid w:val="00F046EA"/>
    <w:rsid w:val="00F312EA"/>
    <w:rsid w:val="00F35A62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86CF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C6187"/>
    <w:rPr>
      <w:color w:val="605E5C"/>
      <w:shd w:val="clear" w:color="auto" w:fill="E1DFDD"/>
    </w:rPr>
  </w:style>
  <w:style w:type="character" w:customStyle="1" w:styleId="nova-e-checkboxlabel">
    <w:name w:val="nova-e-checkbox__label"/>
    <w:basedOn w:val="DefaultParagraphFont"/>
    <w:rsid w:val="00CB12E2"/>
  </w:style>
  <w:style w:type="character" w:customStyle="1" w:styleId="hps">
    <w:name w:val="hps"/>
    <w:basedOn w:val="DefaultParagraphFont"/>
    <w:rsid w:val="00CB12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C6187"/>
    <w:rPr>
      <w:color w:val="605E5C"/>
      <w:shd w:val="clear" w:color="auto" w:fill="E1DFDD"/>
    </w:rPr>
  </w:style>
  <w:style w:type="character" w:customStyle="1" w:styleId="nova-e-checkboxlabel">
    <w:name w:val="nova-e-checkbox__label"/>
    <w:basedOn w:val="DefaultParagraphFont"/>
    <w:rsid w:val="00CB12E2"/>
  </w:style>
  <w:style w:type="character" w:customStyle="1" w:styleId="hps">
    <w:name w:val="hps"/>
    <w:basedOn w:val="DefaultParagraphFont"/>
    <w:rsid w:val="00CB12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fvincent.cnrs@univ-amu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Asia Pacific Dental And Oral Care Congress</cp:lastModifiedBy>
  <cp:revision>2</cp:revision>
  <dcterms:created xsi:type="dcterms:W3CDTF">2023-03-18T06:59:00Z</dcterms:created>
  <dcterms:modified xsi:type="dcterms:W3CDTF">2023-03-18T06:59:00Z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