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C78CF2" w14:textId="68FC216D" w:rsidR="00CE184C" w:rsidRPr="000417E9" w:rsidRDefault="00CE184C" w:rsidP="000417E9">
      <w:pPr>
        <w:pStyle w:val="Heading1"/>
        <w:spacing w:before="170"/>
        <w:ind w:left="0"/>
        <w:jc w:val="both"/>
        <w:rPr>
          <w:rFonts w:ascii="Calibri" w:hAnsi="Calibri" w:cs="Calibri"/>
          <w:color w:val="222222"/>
          <w:sz w:val="28"/>
          <w:szCs w:val="28"/>
          <w:shd w:val="clear" w:color="auto" w:fill="FFFFFF"/>
        </w:rPr>
      </w:pPr>
      <w:r w:rsidRPr="004027DE">
        <w:rPr>
          <w:rFonts w:ascii="Calibri" w:hAnsi="Calibri" w:cs="Calibri"/>
          <w:color w:val="222222"/>
          <w:sz w:val="28"/>
          <w:szCs w:val="28"/>
          <w:shd w:val="clear" w:color="auto" w:fill="FFFFFF"/>
        </w:rPr>
        <w:t>The association between perceived social support and subclinical trauma and its potential effect on postpartum depression symptoms</w:t>
      </w:r>
    </w:p>
    <w:p w14:paraId="2FFA4F07" w14:textId="6A27F3F9" w:rsidR="00A01162" w:rsidRPr="004027DE" w:rsidRDefault="00A01162" w:rsidP="005973B9">
      <w:pPr>
        <w:pStyle w:val="BodyText"/>
        <w:spacing w:before="73" w:line="198" w:lineRule="exact"/>
        <w:ind w:left="100" w:right="5987"/>
        <w:rPr>
          <w:rFonts w:ascii="Calibri" w:hAnsi="Calibri" w:cs="Calibri"/>
        </w:rPr>
      </w:pPr>
      <w:bookmarkStart w:id="0" w:name="_GoBack"/>
      <w:r w:rsidRPr="004027DE">
        <w:rPr>
          <w:rFonts w:ascii="Calibri" w:hAnsi="Calibri" w:cs="Calibri"/>
        </w:rPr>
        <w:t>Juliana Castro</w:t>
      </w:r>
      <w:bookmarkEnd w:id="0"/>
      <w:r w:rsidR="005973B9" w:rsidRPr="004027DE">
        <w:rPr>
          <w:rFonts w:ascii="Calibri" w:hAnsi="Calibri" w:cs="Calibri"/>
        </w:rPr>
        <w:t>,</w:t>
      </w:r>
      <w:r w:rsidRPr="004027DE">
        <w:rPr>
          <w:rFonts w:ascii="Calibri" w:hAnsi="Calibri" w:cs="Calibri"/>
        </w:rPr>
        <w:t xml:space="preserve"> BA,</w:t>
      </w:r>
      <w:r w:rsidR="005973B9" w:rsidRPr="004027DE">
        <w:rPr>
          <w:rFonts w:ascii="Calibri" w:hAnsi="Calibri" w:cs="Calibri"/>
        </w:rPr>
        <w:t xml:space="preserve"> </w:t>
      </w:r>
      <w:r w:rsidRPr="004027DE">
        <w:rPr>
          <w:rFonts w:ascii="Calibri" w:hAnsi="Calibri" w:cs="Calibri"/>
        </w:rPr>
        <w:t>Mount Sinai</w:t>
      </w:r>
      <w:r w:rsidR="005973B9" w:rsidRPr="004027DE">
        <w:rPr>
          <w:rFonts w:ascii="Calibri" w:hAnsi="Calibri" w:cs="Calibri"/>
        </w:rPr>
        <w:t xml:space="preserve">, </w:t>
      </w:r>
      <w:r w:rsidRPr="004027DE">
        <w:rPr>
          <w:rFonts w:ascii="Calibri" w:hAnsi="Calibri" w:cs="Calibri"/>
        </w:rPr>
        <w:t>NYC</w:t>
      </w:r>
      <w:r w:rsidR="005973B9" w:rsidRPr="004027DE">
        <w:rPr>
          <w:rFonts w:ascii="Calibri" w:hAnsi="Calibri" w:cs="Calibri"/>
        </w:rPr>
        <w:t xml:space="preserve"> </w:t>
      </w:r>
    </w:p>
    <w:p w14:paraId="6CDA3B45" w14:textId="3F89F22E" w:rsidR="005973B9" w:rsidRPr="004027DE" w:rsidRDefault="00A01162" w:rsidP="005973B9">
      <w:pPr>
        <w:pStyle w:val="BodyText"/>
        <w:spacing w:before="73" w:line="198" w:lineRule="exact"/>
        <w:ind w:left="100" w:right="5987"/>
        <w:rPr>
          <w:rFonts w:ascii="Calibri" w:hAnsi="Calibri" w:cs="Calibri"/>
        </w:rPr>
      </w:pPr>
      <w:r w:rsidRPr="004027DE">
        <w:rPr>
          <w:rFonts w:ascii="Calibri" w:hAnsi="Calibri" w:cs="Calibri"/>
        </w:rPr>
        <w:t>Dr. Adriana Bruges-Boude</w:t>
      </w:r>
      <w:r w:rsidR="005973B9" w:rsidRPr="004027DE">
        <w:rPr>
          <w:rFonts w:ascii="Calibri" w:hAnsi="Calibri" w:cs="Calibri"/>
        </w:rPr>
        <w:t xml:space="preserve">, </w:t>
      </w:r>
      <w:r w:rsidRPr="004027DE">
        <w:rPr>
          <w:rFonts w:ascii="Calibri" w:hAnsi="Calibri" w:cs="Calibri"/>
        </w:rPr>
        <w:t>MD</w:t>
      </w:r>
      <w:r w:rsidR="005973B9" w:rsidRPr="004027DE">
        <w:rPr>
          <w:rFonts w:ascii="Calibri" w:hAnsi="Calibri" w:cs="Calibri"/>
        </w:rPr>
        <w:t xml:space="preserve">, </w:t>
      </w:r>
      <w:r w:rsidRPr="004027DE">
        <w:rPr>
          <w:rFonts w:ascii="Calibri" w:hAnsi="Calibri" w:cs="Calibri"/>
        </w:rPr>
        <w:t>Mount Sinai</w:t>
      </w:r>
      <w:r w:rsidR="005973B9" w:rsidRPr="004027DE">
        <w:rPr>
          <w:rFonts w:ascii="Calibri" w:hAnsi="Calibri" w:cs="Calibri"/>
        </w:rPr>
        <w:t xml:space="preserve">, </w:t>
      </w:r>
      <w:r w:rsidRPr="004027DE">
        <w:rPr>
          <w:rFonts w:ascii="Calibri" w:hAnsi="Calibri" w:cs="Calibri"/>
        </w:rPr>
        <w:t>NYC</w:t>
      </w:r>
    </w:p>
    <w:p w14:paraId="0B20B497" w14:textId="77777777" w:rsidR="00AE3E37" w:rsidRPr="004027DE" w:rsidRDefault="00AE3E37">
      <w:pPr>
        <w:pStyle w:val="BodyText"/>
        <w:rPr>
          <w:rFonts w:ascii="Calibri" w:hAnsi="Calibri" w:cs="Calibri"/>
          <w:sz w:val="20"/>
        </w:rPr>
      </w:pPr>
    </w:p>
    <w:p w14:paraId="00BCB557" w14:textId="77777777" w:rsidR="00AE3E37" w:rsidRPr="004027DE" w:rsidRDefault="00AE3E37">
      <w:pPr>
        <w:rPr>
          <w:rFonts w:ascii="Calibri" w:hAnsi="Calibri" w:cs="Calibri"/>
          <w:sz w:val="21"/>
        </w:rPr>
        <w:sectPr w:rsidR="00AE3E37" w:rsidRPr="004027DE" w:rsidSect="00CE184C">
          <w:footerReference w:type="default" r:id="rId9"/>
          <w:type w:val="continuous"/>
          <w:pgSz w:w="11910" w:h="16840"/>
          <w:pgMar w:top="720" w:right="720" w:bottom="720" w:left="720" w:header="0" w:footer="0" w:gutter="0"/>
          <w:cols w:space="720"/>
          <w:docGrid w:linePitch="299"/>
        </w:sectPr>
      </w:pPr>
    </w:p>
    <w:p w14:paraId="62856BB9" w14:textId="33535F7D" w:rsidR="00AE3E37" w:rsidRPr="004027DE" w:rsidRDefault="00A9710C">
      <w:pPr>
        <w:pStyle w:val="Heading3"/>
        <w:spacing w:before="147"/>
        <w:jc w:val="both"/>
        <w:rPr>
          <w:rFonts w:ascii="Calibri" w:hAnsi="Calibri" w:cs="Calibri"/>
        </w:rPr>
      </w:pPr>
      <w:r w:rsidRPr="004027DE">
        <w:rPr>
          <w:rFonts w:ascii="Calibri" w:hAnsi="Calibri" w:cs="Calibri"/>
          <w:color w:val="BF5A14"/>
        </w:rPr>
        <w:lastRenderedPageBreak/>
        <w:t>Abstract</w:t>
      </w:r>
      <w:r w:rsidR="00404E5B" w:rsidRPr="004027DE">
        <w:rPr>
          <w:rFonts w:ascii="Calibri" w:hAnsi="Calibri" w:cs="Calibri"/>
          <w:color w:val="BF5A14"/>
        </w:rPr>
        <w:t xml:space="preserve"> </w:t>
      </w:r>
    </w:p>
    <w:p w14:paraId="3DE7D3F9" w14:textId="77777777" w:rsidR="00CE184C" w:rsidRPr="00CE184C" w:rsidRDefault="00CE184C" w:rsidP="00CE184C">
      <w:pPr>
        <w:pStyle w:val="BodyText"/>
        <w:spacing w:before="90" w:line="280" w:lineRule="auto"/>
        <w:ind w:left="100"/>
        <w:jc w:val="both"/>
        <w:rPr>
          <w:rFonts w:ascii="Calibri" w:hAnsi="Calibri" w:cs="Calibri"/>
        </w:rPr>
      </w:pPr>
      <w:r w:rsidRPr="00CE184C">
        <w:rPr>
          <w:rFonts w:ascii="Calibri" w:hAnsi="Calibri" w:cs="Calibri"/>
          <w:b/>
          <w:bCs/>
        </w:rPr>
        <w:t xml:space="preserve">Background </w:t>
      </w:r>
      <w:r w:rsidRPr="00CE184C">
        <w:rPr>
          <w:rFonts w:ascii="Calibri" w:hAnsi="Calibri" w:cs="Calibri"/>
        </w:rPr>
        <w:t>Pregnancy is a time of physiological and psychological changes. Research has suggested that social support can protect against negative mental health outcomes and help maintain overall well-being during pregnancy and the postpartum period, even following stressful life events. Despite advances in trauma research, most studies to date do not include pregnant persons, and often exclude those who do not meet full post-traumatic stress disorder criteria. We aim to address gaps in the literature by exploring dimensional associations between traumatic life events, perceived social support during pregnancy, and postpartum depression symptoms.</w:t>
      </w:r>
    </w:p>
    <w:p w14:paraId="01BBB9FF" w14:textId="77777777" w:rsidR="00CE184C" w:rsidRPr="00CE184C" w:rsidRDefault="00CE184C" w:rsidP="00CE184C">
      <w:pPr>
        <w:pStyle w:val="BodyText"/>
        <w:spacing w:before="90" w:line="280" w:lineRule="auto"/>
        <w:ind w:left="100"/>
        <w:jc w:val="both"/>
        <w:rPr>
          <w:rFonts w:ascii="Calibri" w:hAnsi="Calibri" w:cs="Calibri"/>
        </w:rPr>
      </w:pPr>
      <w:r w:rsidRPr="00CE184C">
        <w:rPr>
          <w:rFonts w:ascii="Calibri" w:hAnsi="Calibri" w:cs="Calibri"/>
          <w:b/>
          <w:bCs/>
        </w:rPr>
        <w:t xml:space="preserve">Methods </w:t>
      </w:r>
      <w:r w:rsidRPr="00CE184C">
        <w:rPr>
          <w:rFonts w:ascii="Calibri" w:hAnsi="Calibri" w:cs="Calibri"/>
        </w:rPr>
        <w:t>Participants with diverse backgrounds were enrolled in the Generation C-SF cohort (current n=330, target N=500), a New York City-based prospective pregnancy cohort. At 3 months postpartum, participants completed the Trauma History Questionnaire (THQ), the Social Adjustment Scale Self-Report (SAS-SR), and Edinburgh Postnatal Depression Scale (EPDS, M=6.20, SD=4.83). Higher SAS-SR scores indicate greater social functioning impairments. Higher THQ and EPDS scores indicate more trauma and depressive symptoms, respectively. We examined correlations between the THQ, SAS-SR, and EPDS. </w:t>
      </w:r>
    </w:p>
    <w:p w14:paraId="19DB2A81" w14:textId="429774F8" w:rsidR="00CE184C" w:rsidRPr="00CE184C" w:rsidRDefault="00CE184C" w:rsidP="00CE184C">
      <w:pPr>
        <w:pStyle w:val="BodyText"/>
        <w:spacing w:before="90" w:line="280" w:lineRule="auto"/>
        <w:ind w:left="100"/>
        <w:jc w:val="both"/>
        <w:rPr>
          <w:rFonts w:ascii="Calibri" w:hAnsi="Calibri" w:cs="Calibri"/>
        </w:rPr>
      </w:pPr>
      <w:r w:rsidRPr="00CE184C">
        <w:rPr>
          <w:rFonts w:ascii="Calibri" w:hAnsi="Calibri" w:cs="Calibri"/>
          <w:b/>
          <w:bCs/>
        </w:rPr>
        <w:t xml:space="preserve">Results </w:t>
      </w:r>
      <w:r w:rsidRPr="00CE184C">
        <w:rPr>
          <w:rFonts w:ascii="Calibri" w:hAnsi="Calibri" w:cs="Calibri"/>
        </w:rPr>
        <w:t>Total mean THQ scores were positively correlated with overall mean scores from the SAS-SR</w:t>
      </w:r>
      <w:r w:rsidR="009241E0">
        <w:rPr>
          <w:rFonts w:ascii="Calibri" w:hAnsi="Calibri" w:cs="Calibri"/>
        </w:rPr>
        <w:t xml:space="preserve">. </w:t>
      </w:r>
      <w:r w:rsidRPr="00CE184C">
        <w:rPr>
          <w:rFonts w:ascii="Calibri" w:hAnsi="Calibri" w:cs="Calibri"/>
        </w:rPr>
        <w:t xml:space="preserve">The THQ subscales of unwanted physical and sexual experiences were positively correlated with </w:t>
      </w:r>
      <w:r w:rsidR="004027DE" w:rsidRPr="004027DE">
        <w:rPr>
          <w:rFonts w:ascii="Calibri" w:hAnsi="Calibri" w:cs="Calibri"/>
        </w:rPr>
        <w:t xml:space="preserve">extended family, family unit, and housework subscales from the SAS-SR. </w:t>
      </w:r>
      <w:r w:rsidRPr="00CE184C">
        <w:rPr>
          <w:rFonts w:ascii="Calibri" w:hAnsi="Calibri" w:cs="Calibri"/>
        </w:rPr>
        <w:t>EPDS scores were positively correlated with total mean THQ scores and the unwanted physical and sexual experiences subscale</w:t>
      </w:r>
      <w:r w:rsidR="009241E0">
        <w:rPr>
          <w:rFonts w:ascii="Calibri" w:hAnsi="Calibri" w:cs="Calibri"/>
        </w:rPr>
        <w:t xml:space="preserve"> (see Table 2 for results). </w:t>
      </w:r>
    </w:p>
    <w:p w14:paraId="4FA90DCD" w14:textId="56403342" w:rsidR="004027DE" w:rsidRDefault="00CE184C" w:rsidP="004027DE">
      <w:pPr>
        <w:pStyle w:val="BodyText"/>
        <w:spacing w:before="90" w:line="280" w:lineRule="auto"/>
        <w:ind w:left="100"/>
        <w:jc w:val="both"/>
        <w:rPr>
          <w:rFonts w:ascii="Calibri" w:hAnsi="Calibri" w:cs="Calibri"/>
        </w:rPr>
      </w:pPr>
      <w:r w:rsidRPr="00CE184C">
        <w:rPr>
          <w:rFonts w:ascii="Calibri" w:hAnsi="Calibri" w:cs="Calibri"/>
          <w:b/>
          <w:bCs/>
        </w:rPr>
        <w:t xml:space="preserve">Conclusion </w:t>
      </w:r>
      <w:r w:rsidRPr="00CE184C">
        <w:rPr>
          <w:rFonts w:ascii="Calibri" w:hAnsi="Calibri" w:cs="Calibri"/>
        </w:rPr>
        <w:t xml:space="preserve">These preliminary findings suggest an association between traumatic life events and perceived impairments in social functioning during pregnancy. Higher scores in unwanted physical or sexual assault were significantly correlated to relationship dissatisfaction with family unit, extended family, and neighbors. </w:t>
      </w:r>
      <w:r w:rsidR="004027DE">
        <w:rPr>
          <w:rFonts w:ascii="Calibri" w:hAnsi="Calibri" w:cs="Calibri"/>
        </w:rPr>
        <w:t>These results</w:t>
      </w:r>
      <w:r w:rsidR="000417E9">
        <w:rPr>
          <w:rFonts w:ascii="Calibri" w:hAnsi="Calibri" w:cs="Calibri"/>
        </w:rPr>
        <w:t xml:space="preserve"> highlight the relationship between social support and trauma and</w:t>
      </w:r>
      <w:r w:rsidR="004027DE">
        <w:rPr>
          <w:rFonts w:ascii="Calibri" w:hAnsi="Calibri" w:cs="Calibri"/>
        </w:rPr>
        <w:t xml:space="preserve"> may inform future research </w:t>
      </w:r>
      <w:r w:rsidR="000417E9">
        <w:rPr>
          <w:rFonts w:ascii="Calibri" w:hAnsi="Calibri" w:cs="Calibri"/>
        </w:rPr>
        <w:t xml:space="preserve">on how an increase in social support may assist with coping after a traumatic event. </w:t>
      </w:r>
    </w:p>
    <w:p w14:paraId="7DA6CC5F" w14:textId="38C139B2" w:rsidR="004027DE" w:rsidRDefault="004027DE" w:rsidP="004027DE">
      <w:pPr>
        <w:pStyle w:val="BodyText"/>
        <w:spacing w:before="90" w:line="280" w:lineRule="auto"/>
        <w:ind w:left="100"/>
        <w:jc w:val="both"/>
        <w:rPr>
          <w:rFonts w:ascii="Calibri" w:hAnsi="Calibri" w:cs="Calibri"/>
        </w:rPr>
      </w:pPr>
    </w:p>
    <w:p w14:paraId="2EF987CF" w14:textId="6865AD65" w:rsidR="00D8733A" w:rsidRDefault="00D8733A" w:rsidP="00D8733A">
      <w:pPr>
        <w:pStyle w:val="BodyText"/>
        <w:spacing w:before="90" w:line="280" w:lineRule="auto"/>
        <w:jc w:val="both"/>
        <w:rPr>
          <w:rFonts w:ascii="Calibri" w:hAnsi="Calibri" w:cs="Calibri"/>
        </w:rPr>
      </w:pPr>
    </w:p>
    <w:p w14:paraId="29AEDD00" w14:textId="4482B81E" w:rsidR="00D8733A" w:rsidRPr="004027DE" w:rsidRDefault="00D8733A" w:rsidP="00D8733A">
      <w:pPr>
        <w:spacing w:before="92"/>
        <w:ind w:right="4234"/>
        <w:rPr>
          <w:rFonts w:ascii="Calibri" w:hAnsi="Calibri" w:cs="Calibri"/>
        </w:rPr>
      </w:pPr>
      <w:r w:rsidRPr="004027DE">
        <w:rPr>
          <w:rFonts w:ascii="Calibri" w:hAnsi="Calibri" w:cs="Calibri"/>
          <w:color w:val="BF5A14"/>
        </w:rPr>
        <w:t xml:space="preserve">Biography </w:t>
      </w:r>
    </w:p>
    <w:p w14:paraId="346110C8" w14:textId="7476D28D" w:rsidR="00D8733A" w:rsidRPr="004027DE" w:rsidRDefault="003E1DA2" w:rsidP="00D8733A">
      <w:pPr>
        <w:spacing w:before="41" w:line="154" w:lineRule="exact"/>
        <w:ind w:right="231"/>
        <w:jc w:val="both"/>
        <w:rPr>
          <w:rFonts w:ascii="Calibri" w:hAnsi="Calibri" w:cs="Calibri"/>
          <w:sz w:val="14"/>
        </w:rPr>
      </w:pPr>
      <w:r>
        <w:rPr>
          <w:rFonts w:ascii="Calibri" w:hAnsi="Calibri" w:cs="Calibri"/>
          <w:noProof/>
          <w:lang w:val="en-IN" w:eastAsia="en-IN"/>
        </w:rPr>
        <w:drawing>
          <wp:anchor distT="0" distB="0" distL="114300" distR="114300" simplePos="0" relativeHeight="251659264" behindDoc="0" locked="0" layoutInCell="1" allowOverlap="1" wp14:anchorId="38960528" wp14:editId="5C06D006">
            <wp:simplePos x="0" y="0"/>
            <wp:positionH relativeFrom="column">
              <wp:posOffset>2815784</wp:posOffset>
            </wp:positionH>
            <wp:positionV relativeFrom="paragraph">
              <wp:posOffset>24765</wp:posOffset>
            </wp:positionV>
            <wp:extent cx="457835" cy="65341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835" cy="653415"/>
                    </a:xfrm>
                    <a:prstGeom prst="rect">
                      <a:avLst/>
                    </a:prstGeom>
                  </pic:spPr>
                </pic:pic>
              </a:graphicData>
            </a:graphic>
            <wp14:sizeRelH relativeFrom="page">
              <wp14:pctWidth>0</wp14:pctWidth>
            </wp14:sizeRelH>
            <wp14:sizeRelV relativeFrom="page">
              <wp14:pctHeight>0</wp14:pctHeight>
            </wp14:sizeRelV>
          </wp:anchor>
        </w:drawing>
      </w:r>
      <w:r w:rsidR="00D8733A" w:rsidRPr="00CE184C">
        <w:rPr>
          <w:rFonts w:ascii="Calibri" w:hAnsi="Calibri" w:cs="Calibri"/>
          <w:sz w:val="14"/>
        </w:rPr>
        <w:t xml:space="preserve">Juliana graduated from Wesleyan University in 2019 with a degree in Psychology. </w:t>
      </w:r>
      <w:r w:rsidR="00D8733A" w:rsidRPr="004027DE">
        <w:rPr>
          <w:rFonts w:ascii="Calibri" w:hAnsi="Calibri" w:cs="Calibri"/>
          <w:sz w:val="14"/>
        </w:rPr>
        <w:t xml:space="preserve">She has been working at Mount Sinai for 2 years coordinating several research studies exploring COVID-19 and women’s mental health during the pandemic, early childhood development, and maternal caregiving behaviors. </w:t>
      </w:r>
      <w:r w:rsidR="00D8733A" w:rsidRPr="00CE184C">
        <w:rPr>
          <w:rFonts w:ascii="Calibri" w:hAnsi="Calibri" w:cs="Calibri"/>
          <w:sz w:val="14"/>
        </w:rPr>
        <w:t xml:space="preserve">She has a strong interest </w:t>
      </w:r>
      <w:r w:rsidR="00D8733A" w:rsidRPr="004027DE">
        <w:rPr>
          <w:rFonts w:ascii="Calibri" w:hAnsi="Calibri" w:cs="Calibri"/>
          <w:sz w:val="14"/>
        </w:rPr>
        <w:t xml:space="preserve">and experience working </w:t>
      </w:r>
      <w:r w:rsidR="00D8733A" w:rsidRPr="00CE184C">
        <w:rPr>
          <w:rFonts w:ascii="Calibri" w:hAnsi="Calibri" w:cs="Calibri"/>
          <w:sz w:val="14"/>
        </w:rPr>
        <w:t xml:space="preserve">in women’s mental health </w:t>
      </w:r>
      <w:r w:rsidR="00D8733A" w:rsidRPr="004027DE">
        <w:rPr>
          <w:rFonts w:ascii="Calibri" w:hAnsi="Calibri" w:cs="Calibri"/>
          <w:sz w:val="14"/>
        </w:rPr>
        <w:t xml:space="preserve">research </w:t>
      </w:r>
      <w:r w:rsidR="00D8733A" w:rsidRPr="00CE184C">
        <w:rPr>
          <w:rFonts w:ascii="Calibri" w:hAnsi="Calibri" w:cs="Calibri"/>
          <w:sz w:val="14"/>
        </w:rPr>
        <w:t xml:space="preserve">and eventually hopes to pursue a degree in Clinical Psychology with a focus on </w:t>
      </w:r>
      <w:r w:rsidR="00D8733A" w:rsidRPr="004027DE">
        <w:rPr>
          <w:rFonts w:ascii="Calibri" w:hAnsi="Calibri" w:cs="Calibri"/>
          <w:sz w:val="14"/>
        </w:rPr>
        <w:t>trauma stress disorders.</w:t>
      </w:r>
    </w:p>
    <w:p w14:paraId="12950294" w14:textId="265B99B8" w:rsidR="00D8733A" w:rsidRPr="00D8733A" w:rsidRDefault="00D8733A" w:rsidP="00D8733A">
      <w:pPr>
        <w:spacing w:before="41" w:line="154" w:lineRule="exact"/>
        <w:ind w:right="231"/>
        <w:jc w:val="both"/>
        <w:rPr>
          <w:rFonts w:ascii="Calibri" w:hAnsi="Calibri" w:cs="Calibri"/>
          <w:sz w:val="14"/>
        </w:rPr>
      </w:pPr>
      <w:r w:rsidRPr="004027DE">
        <w:rPr>
          <w:rFonts w:ascii="Calibri" w:hAnsi="Calibri" w:cs="Calibri"/>
          <w:sz w:val="14"/>
        </w:rPr>
        <w:t>Email: Juliana.camachocastro@mountsinai.org</w:t>
      </w:r>
    </w:p>
    <w:p w14:paraId="3001C09D" w14:textId="658B3947" w:rsidR="00AE3E37" w:rsidRPr="009241E0" w:rsidRDefault="00A9710C" w:rsidP="004027DE">
      <w:pPr>
        <w:pStyle w:val="BodyText"/>
        <w:spacing w:before="90" w:line="280" w:lineRule="auto"/>
        <w:ind w:left="100"/>
        <w:jc w:val="both"/>
        <w:rPr>
          <w:rFonts w:asciiTheme="minorHAnsi" w:hAnsiTheme="minorHAnsi" w:cstheme="minorHAnsi"/>
          <w:b/>
          <w:bCs/>
          <w:sz w:val="20"/>
          <w:szCs w:val="20"/>
        </w:rPr>
      </w:pPr>
      <w:r w:rsidRPr="009241E0">
        <w:rPr>
          <w:sz w:val="20"/>
          <w:szCs w:val="20"/>
        </w:rPr>
        <w:br w:type="column"/>
      </w:r>
      <w:r w:rsidRPr="009241E0">
        <w:rPr>
          <w:rFonts w:asciiTheme="minorHAnsi" w:hAnsiTheme="minorHAnsi" w:cstheme="minorHAnsi"/>
          <w:b/>
          <w:bCs/>
          <w:color w:val="BF5A14"/>
          <w:sz w:val="20"/>
          <w:szCs w:val="20"/>
        </w:rPr>
        <w:lastRenderedPageBreak/>
        <w:t>Image</w:t>
      </w:r>
      <w:r w:rsidR="000417E9" w:rsidRPr="009241E0">
        <w:rPr>
          <w:rFonts w:asciiTheme="minorHAnsi" w:hAnsiTheme="minorHAnsi" w:cstheme="minorHAnsi"/>
          <w:b/>
          <w:bCs/>
          <w:color w:val="BF5A14"/>
          <w:sz w:val="20"/>
          <w:szCs w:val="20"/>
        </w:rPr>
        <w:t>s</w:t>
      </w:r>
    </w:p>
    <w:p w14:paraId="4E47248C" w14:textId="7349101C" w:rsidR="00AE3E37" w:rsidRDefault="0034637C">
      <w:pPr>
        <w:pStyle w:val="BodyText"/>
        <w:spacing w:before="2"/>
        <w:rPr>
          <w:rFonts w:ascii="Arial"/>
          <w:b/>
          <w:sz w:val="16"/>
        </w:rPr>
      </w:pPr>
      <w:r>
        <w:rPr>
          <w:rFonts w:ascii="Arial"/>
          <w:b/>
          <w:noProof/>
          <w:sz w:val="16"/>
          <w:lang w:val="en-IN" w:eastAsia="en-IN"/>
        </w:rPr>
        <w:drawing>
          <wp:inline distT="0" distB="0" distL="0" distR="0" wp14:anchorId="6EA3F15E" wp14:editId="43E47C9D">
            <wp:extent cx="2843939" cy="1875155"/>
            <wp:effectExtent l="0" t="0" r="1270" b="4445"/>
            <wp:docPr id="10" name="Picture 1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53200" cy="1881261"/>
                    </a:xfrm>
                    <a:prstGeom prst="rect">
                      <a:avLst/>
                    </a:prstGeom>
                  </pic:spPr>
                </pic:pic>
              </a:graphicData>
            </a:graphic>
          </wp:inline>
        </w:drawing>
      </w:r>
    </w:p>
    <w:p w14:paraId="54FC02AC" w14:textId="00D68CD5" w:rsidR="000417E9" w:rsidRDefault="000417E9">
      <w:pPr>
        <w:pStyle w:val="BodyText"/>
        <w:spacing w:before="2"/>
        <w:rPr>
          <w:rFonts w:ascii="Arial"/>
          <w:b/>
          <w:sz w:val="16"/>
        </w:rPr>
      </w:pPr>
      <w:r>
        <w:rPr>
          <w:rFonts w:ascii="Arial"/>
          <w:b/>
          <w:noProof/>
          <w:sz w:val="16"/>
          <w:lang w:val="en-IN" w:eastAsia="en-IN"/>
        </w:rPr>
        <w:drawing>
          <wp:inline distT="0" distB="0" distL="0" distR="0" wp14:anchorId="41E56ABF" wp14:editId="687221D4">
            <wp:extent cx="2750949" cy="1965673"/>
            <wp:effectExtent l="0" t="0" r="5080" b="3175"/>
            <wp:docPr id="11" name="Picture 1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abl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58606" cy="1971144"/>
                    </a:xfrm>
                    <a:prstGeom prst="rect">
                      <a:avLst/>
                    </a:prstGeom>
                  </pic:spPr>
                </pic:pic>
              </a:graphicData>
            </a:graphic>
          </wp:inline>
        </w:drawing>
      </w:r>
    </w:p>
    <w:p w14:paraId="1A51DCB6" w14:textId="1A3D083C" w:rsidR="005973B9" w:rsidRPr="00F514D0" w:rsidRDefault="0034637C" w:rsidP="005973B9">
      <w:pPr>
        <w:spacing w:line="204" w:lineRule="exact"/>
        <w:rPr>
          <w:rFonts w:asciiTheme="minorHAnsi" w:hAnsiTheme="minorHAnsi" w:cstheme="minorHAnsi"/>
          <w:b/>
          <w:sz w:val="20"/>
        </w:rPr>
      </w:pPr>
      <w:r w:rsidRPr="00F514D0">
        <w:rPr>
          <w:rFonts w:asciiTheme="minorHAnsi" w:hAnsiTheme="minorHAnsi" w:cstheme="minorHAnsi"/>
          <w:b/>
          <w:noProof/>
          <w:color w:val="BF5A14"/>
          <w:sz w:val="20"/>
          <w:lang w:val="en-IN" w:eastAsia="en-IN"/>
        </w:rPr>
        <w:drawing>
          <wp:inline distT="0" distB="0" distL="0" distR="0" wp14:anchorId="6B44EDD3" wp14:editId="0E9A4A7A">
            <wp:extent cx="3165475" cy="2223135"/>
            <wp:effectExtent l="0" t="0" r="0" b="0"/>
            <wp:docPr id="6" name="Picture 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65475" cy="2223135"/>
                    </a:xfrm>
                    <a:prstGeom prst="rect">
                      <a:avLst/>
                    </a:prstGeom>
                  </pic:spPr>
                </pic:pic>
              </a:graphicData>
            </a:graphic>
          </wp:inline>
        </w:drawing>
      </w:r>
      <w:r w:rsidR="005973B9" w:rsidRPr="00F514D0">
        <w:rPr>
          <w:rFonts w:asciiTheme="minorHAnsi" w:hAnsiTheme="minorHAnsi" w:cstheme="minorHAnsi"/>
          <w:b/>
          <w:color w:val="BF5A14"/>
          <w:sz w:val="20"/>
        </w:rPr>
        <w:br/>
        <w:t xml:space="preserve">Recent Publications </w:t>
      </w:r>
    </w:p>
    <w:p w14:paraId="10206085" w14:textId="5FD6D12D" w:rsidR="0034637C" w:rsidRPr="000417E9" w:rsidRDefault="0034637C" w:rsidP="0034637C">
      <w:pPr>
        <w:pStyle w:val="ListParagraph"/>
        <w:numPr>
          <w:ilvl w:val="0"/>
          <w:numId w:val="4"/>
        </w:numPr>
        <w:tabs>
          <w:tab w:val="left" w:pos="384"/>
        </w:tabs>
        <w:ind w:right="117"/>
        <w:rPr>
          <w:sz w:val="16"/>
          <w:szCs w:val="16"/>
        </w:rPr>
      </w:pPr>
      <w:r w:rsidRPr="000417E9">
        <w:rPr>
          <w:sz w:val="16"/>
          <w:szCs w:val="16"/>
        </w:rPr>
        <w:t>Cheng, B., Roberts, N., Zhou, Y., Wang, X., Li, Y., Chen, Y., ... &amp; Wang, J. (2022). Social support mediates the influence of cerebellum functional connectivity strength on postpartum depression and postpartum depression with anxiety. Translational Psychiatry, 12(1), 54.</w:t>
      </w:r>
    </w:p>
    <w:p w14:paraId="70D8E42F" w14:textId="1ED22001" w:rsidR="004027DE" w:rsidRPr="000417E9" w:rsidRDefault="004027DE" w:rsidP="0034637C">
      <w:pPr>
        <w:pStyle w:val="ListParagraph"/>
        <w:numPr>
          <w:ilvl w:val="0"/>
          <w:numId w:val="4"/>
        </w:numPr>
        <w:tabs>
          <w:tab w:val="left" w:pos="384"/>
        </w:tabs>
        <w:ind w:right="117"/>
        <w:rPr>
          <w:sz w:val="16"/>
          <w:szCs w:val="16"/>
        </w:rPr>
      </w:pPr>
      <w:r w:rsidRPr="000417E9">
        <w:rPr>
          <w:sz w:val="16"/>
          <w:szCs w:val="16"/>
        </w:rPr>
        <w:t>Lee, J. S. (2019). Perceived social support functions as a resilience in buffering the impact of trauma exposure on PTSD symptoms via intrusive rumination and entrapment in firefighters. </w:t>
      </w:r>
      <w:proofErr w:type="spellStart"/>
      <w:r w:rsidRPr="000417E9">
        <w:rPr>
          <w:i/>
          <w:iCs/>
          <w:sz w:val="16"/>
          <w:szCs w:val="16"/>
        </w:rPr>
        <w:t>PloS</w:t>
      </w:r>
      <w:proofErr w:type="spellEnd"/>
      <w:r w:rsidRPr="000417E9">
        <w:rPr>
          <w:i/>
          <w:iCs/>
          <w:sz w:val="16"/>
          <w:szCs w:val="16"/>
        </w:rPr>
        <w:t xml:space="preserve"> one</w:t>
      </w:r>
      <w:r w:rsidRPr="000417E9">
        <w:rPr>
          <w:sz w:val="16"/>
          <w:szCs w:val="16"/>
        </w:rPr>
        <w:t>, </w:t>
      </w:r>
      <w:r w:rsidRPr="000417E9">
        <w:rPr>
          <w:i/>
          <w:iCs/>
          <w:sz w:val="16"/>
          <w:szCs w:val="16"/>
        </w:rPr>
        <w:t>14</w:t>
      </w:r>
      <w:r w:rsidRPr="000417E9">
        <w:rPr>
          <w:sz w:val="16"/>
          <w:szCs w:val="16"/>
        </w:rPr>
        <w:t>(8), e0220454.</w:t>
      </w:r>
    </w:p>
    <w:p w14:paraId="0D98456B" w14:textId="4F735094" w:rsidR="00A23DAD" w:rsidRDefault="00A23DAD" w:rsidP="0034637C">
      <w:pPr>
        <w:pStyle w:val="ListParagraph"/>
        <w:numPr>
          <w:ilvl w:val="0"/>
          <w:numId w:val="4"/>
        </w:numPr>
        <w:tabs>
          <w:tab w:val="left" w:pos="384"/>
        </w:tabs>
        <w:ind w:right="117"/>
        <w:rPr>
          <w:sz w:val="16"/>
          <w:szCs w:val="16"/>
        </w:rPr>
      </w:pPr>
      <w:r w:rsidRPr="00A23DAD">
        <w:rPr>
          <w:sz w:val="16"/>
          <w:szCs w:val="16"/>
        </w:rPr>
        <w:t>Meltzer-Brody, S., Bledsoe-</w:t>
      </w:r>
      <w:proofErr w:type="spellStart"/>
      <w:r w:rsidRPr="00A23DAD">
        <w:rPr>
          <w:sz w:val="16"/>
          <w:szCs w:val="16"/>
        </w:rPr>
        <w:t>Mansori</w:t>
      </w:r>
      <w:proofErr w:type="spellEnd"/>
      <w:r w:rsidRPr="00A23DAD">
        <w:rPr>
          <w:sz w:val="16"/>
          <w:szCs w:val="16"/>
        </w:rPr>
        <w:t>, S. E., Johnson, N., Killian, C., Hamer, R. M., Jackson, C., ... &amp; Thorp, J. (2013). A prospective study of perinatal depression and trauma history in pregnant minority adolescents. </w:t>
      </w:r>
      <w:r w:rsidRPr="00A23DAD">
        <w:rPr>
          <w:i/>
          <w:iCs/>
          <w:sz w:val="16"/>
          <w:szCs w:val="16"/>
        </w:rPr>
        <w:t>American journal of obstetrics and gynecology</w:t>
      </w:r>
      <w:r w:rsidRPr="00A23DAD">
        <w:rPr>
          <w:sz w:val="16"/>
          <w:szCs w:val="16"/>
        </w:rPr>
        <w:t>, </w:t>
      </w:r>
      <w:r w:rsidRPr="00A23DAD">
        <w:rPr>
          <w:i/>
          <w:iCs/>
          <w:sz w:val="16"/>
          <w:szCs w:val="16"/>
        </w:rPr>
        <w:t>208</w:t>
      </w:r>
      <w:r w:rsidRPr="00A23DAD">
        <w:rPr>
          <w:sz w:val="16"/>
          <w:szCs w:val="16"/>
        </w:rPr>
        <w:t>(3), 211-e1.</w:t>
      </w:r>
    </w:p>
    <w:p w14:paraId="4E5C89FC" w14:textId="25036076" w:rsidR="0034637C" w:rsidRPr="000417E9" w:rsidRDefault="0034637C" w:rsidP="0034637C">
      <w:pPr>
        <w:pStyle w:val="ListParagraph"/>
        <w:numPr>
          <w:ilvl w:val="0"/>
          <w:numId w:val="4"/>
        </w:numPr>
        <w:tabs>
          <w:tab w:val="left" w:pos="384"/>
        </w:tabs>
        <w:ind w:right="117"/>
        <w:rPr>
          <w:sz w:val="16"/>
          <w:szCs w:val="16"/>
        </w:rPr>
      </w:pPr>
      <w:r w:rsidRPr="000417E9">
        <w:rPr>
          <w:sz w:val="16"/>
          <w:szCs w:val="16"/>
        </w:rPr>
        <w:t xml:space="preserve">Pao, C., </w:t>
      </w:r>
      <w:proofErr w:type="spellStart"/>
      <w:r w:rsidRPr="000417E9">
        <w:rPr>
          <w:sz w:val="16"/>
          <w:szCs w:val="16"/>
        </w:rPr>
        <w:t>Guintivano</w:t>
      </w:r>
      <w:proofErr w:type="spellEnd"/>
      <w:r w:rsidRPr="000417E9">
        <w:rPr>
          <w:sz w:val="16"/>
          <w:szCs w:val="16"/>
        </w:rPr>
        <w:t>, J., Santos, H., &amp; Meltzer-Brody, S. (2019). Postpartum depression and social support in a racially and ethnically diverse population of women. Archives of women's mental health, 22, 105-114.</w:t>
      </w:r>
    </w:p>
    <w:p w14:paraId="5271D748" w14:textId="2099FBC5" w:rsidR="00AE3E37" w:rsidRPr="000417E9" w:rsidRDefault="0034637C" w:rsidP="0034637C">
      <w:pPr>
        <w:pStyle w:val="ListParagraph"/>
        <w:numPr>
          <w:ilvl w:val="0"/>
          <w:numId w:val="4"/>
        </w:numPr>
        <w:tabs>
          <w:tab w:val="left" w:pos="384"/>
        </w:tabs>
        <w:ind w:right="117"/>
        <w:rPr>
          <w:sz w:val="16"/>
          <w:szCs w:val="16"/>
        </w:rPr>
      </w:pPr>
      <w:proofErr w:type="spellStart"/>
      <w:r w:rsidRPr="000417E9">
        <w:rPr>
          <w:sz w:val="16"/>
          <w:szCs w:val="16"/>
        </w:rPr>
        <w:t>Scoglio</w:t>
      </w:r>
      <w:proofErr w:type="spellEnd"/>
      <w:r w:rsidRPr="000417E9">
        <w:rPr>
          <w:sz w:val="16"/>
          <w:szCs w:val="16"/>
        </w:rPr>
        <w:t>, A. A., Reilly, E. D., Girouard, C., Quigley, K. S., Carnes, S., &amp; Kelly, M. M. (2022). Social functioning in individuals with post-traumatic stress disorder: A systematic review. Trauma, Violence, &amp; Abuse, 23(2), 356-371.</w:t>
      </w:r>
    </w:p>
    <w:p w14:paraId="745CD58C" w14:textId="77634CF7"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41BB82B2" w14:textId="7036A9A8" w:rsidR="00A23DAD" w:rsidRDefault="00A23DAD" w:rsidP="00A01162">
      <w:pPr>
        <w:autoSpaceDE w:val="0"/>
        <w:autoSpaceDN w:val="0"/>
        <w:adjustRightInd w:val="0"/>
        <w:rPr>
          <w:rFonts w:ascii="Calibri" w:hAnsi="Calibri" w:cs="Calibri"/>
          <w:b/>
          <w:sz w:val="16"/>
          <w:szCs w:val="16"/>
          <w:lang w:val="en-NZ"/>
        </w:rPr>
      </w:pPr>
    </w:p>
    <w:p w14:paraId="7E377208" w14:textId="1C25E2B4" w:rsidR="00EA7D51" w:rsidRPr="000417E9" w:rsidRDefault="003E1DA2" w:rsidP="00A01162">
      <w:pPr>
        <w:autoSpaceDE w:val="0"/>
        <w:autoSpaceDN w:val="0"/>
        <w:adjustRightInd w:val="0"/>
        <w:rPr>
          <w:b/>
          <w:sz w:val="16"/>
          <w:szCs w:val="16"/>
          <w:lang w:val="en-NZ"/>
        </w:rPr>
        <w:sectPr w:rsidR="00EA7D51" w:rsidRPr="000417E9" w:rsidSect="008E5477">
          <w:type w:val="continuous"/>
          <w:pgSz w:w="11910" w:h="16840"/>
          <w:pgMar w:top="995" w:right="600" w:bottom="840" w:left="620" w:header="720" w:footer="720" w:gutter="0"/>
          <w:cols w:space="720"/>
        </w:sectPr>
      </w:pPr>
      <w:r>
        <w:rPr>
          <w:b/>
          <w:noProof/>
          <w:sz w:val="16"/>
          <w:szCs w:val="16"/>
          <w:lang w:val="en-IN" w:eastAsia="en-IN"/>
        </w:rPr>
        <w:drawing>
          <wp:anchor distT="0" distB="0" distL="114300" distR="114300" simplePos="0" relativeHeight="251658240" behindDoc="0" locked="0" layoutInCell="1" allowOverlap="1" wp14:anchorId="589707B6" wp14:editId="19C00403">
            <wp:simplePos x="0" y="0"/>
            <wp:positionH relativeFrom="column">
              <wp:posOffset>6165850</wp:posOffset>
            </wp:positionH>
            <wp:positionV relativeFrom="paragraph">
              <wp:posOffset>417195</wp:posOffset>
            </wp:positionV>
            <wp:extent cx="998652" cy="713232"/>
            <wp:effectExtent l="0" t="0" r="5080" b="0"/>
            <wp:wrapSquare wrapText="bothSides"/>
            <wp:docPr id="12" name="Picture 1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 company nam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98652" cy="713232"/>
                    </a:xfrm>
                    <a:prstGeom prst="rect">
                      <a:avLst/>
                    </a:prstGeom>
                  </pic:spPr>
                </pic:pic>
              </a:graphicData>
            </a:graphic>
            <wp14:sizeRelH relativeFrom="page">
              <wp14:pctWidth>0</wp14:pctWidth>
            </wp14:sizeRelH>
            <wp14:sizeRelV relativeFrom="page">
              <wp14:pctHeight>0</wp14:pctHeight>
            </wp14:sizeRelV>
          </wp:anchor>
        </w:drawing>
      </w:r>
      <w:r w:rsidR="00EA7D51" w:rsidRPr="000417E9">
        <w:rPr>
          <w:rFonts w:ascii="Calibri" w:hAnsi="Calibri" w:cs="Calibri"/>
          <w:b/>
          <w:sz w:val="16"/>
          <w:szCs w:val="16"/>
          <w:lang w:val="en-NZ"/>
        </w:rPr>
        <w:t xml:space="preserve">Presenting author details </w:t>
      </w:r>
      <w:r w:rsidR="00EA7D51" w:rsidRPr="000417E9">
        <w:rPr>
          <w:rFonts w:ascii="Calibri" w:hAnsi="Calibri" w:cs="Calibri"/>
          <w:b/>
          <w:sz w:val="16"/>
          <w:szCs w:val="16"/>
          <w:lang w:val="en-NZ"/>
        </w:rPr>
        <w:br/>
      </w:r>
      <w:r w:rsidR="00EA7D51" w:rsidRPr="000417E9">
        <w:rPr>
          <w:rFonts w:ascii="Calibri" w:hAnsi="Calibri" w:cs="Calibri"/>
          <w:sz w:val="16"/>
          <w:szCs w:val="16"/>
          <w:lang w:val="en-NZ"/>
        </w:rPr>
        <w:t xml:space="preserve">Full name: </w:t>
      </w:r>
      <w:r w:rsidR="00A01162" w:rsidRPr="000417E9">
        <w:rPr>
          <w:rFonts w:ascii="Calibri" w:hAnsi="Calibri" w:cs="Calibri"/>
          <w:sz w:val="16"/>
          <w:szCs w:val="16"/>
          <w:lang w:val="en-NZ"/>
        </w:rPr>
        <w:t>Juliana Castro</w:t>
      </w:r>
      <w:r w:rsidR="00EA7D51" w:rsidRPr="000417E9">
        <w:rPr>
          <w:rFonts w:ascii="Calibri" w:hAnsi="Calibri" w:cs="Calibri"/>
          <w:sz w:val="16"/>
          <w:szCs w:val="16"/>
          <w:lang w:val="en-NZ"/>
        </w:rPr>
        <w:br/>
        <w:t>Contact number:</w:t>
      </w:r>
      <w:r w:rsidR="00A01162" w:rsidRPr="000417E9">
        <w:rPr>
          <w:rFonts w:ascii="Calibri" w:hAnsi="Calibri" w:cs="Calibri"/>
          <w:sz w:val="16"/>
          <w:szCs w:val="16"/>
          <w:lang w:val="en-NZ"/>
        </w:rPr>
        <w:t xml:space="preserve"> 781-690-7897</w:t>
      </w:r>
      <w:r w:rsidR="00EA7D51" w:rsidRPr="000417E9">
        <w:rPr>
          <w:rFonts w:ascii="Calibri" w:hAnsi="Calibri" w:cs="Calibri"/>
          <w:sz w:val="16"/>
          <w:szCs w:val="16"/>
          <w:lang w:val="en-NZ"/>
        </w:rPr>
        <w:br/>
        <w:t>Linked In account:</w:t>
      </w:r>
      <w:r w:rsidR="00A01162" w:rsidRPr="000417E9">
        <w:rPr>
          <w:rFonts w:ascii="Calibri" w:hAnsi="Calibri" w:cs="Calibri"/>
          <w:sz w:val="16"/>
          <w:szCs w:val="16"/>
          <w:lang w:val="en-NZ"/>
        </w:rPr>
        <w:t xml:space="preserve"> https://www.linkedin.com/in/juliana-castro-b8b3a0156/</w:t>
      </w:r>
      <w:r w:rsidR="00EA7D51" w:rsidRPr="000417E9">
        <w:rPr>
          <w:rFonts w:ascii="Calibri" w:hAnsi="Calibri" w:cs="Calibri"/>
          <w:sz w:val="16"/>
          <w:szCs w:val="16"/>
          <w:lang w:val="en-NZ"/>
        </w:rPr>
        <w:br/>
        <w:t>Category:</w:t>
      </w:r>
      <w:r w:rsidR="00A01162" w:rsidRPr="000417E9">
        <w:rPr>
          <w:rFonts w:ascii="Calibri" w:hAnsi="Calibri" w:cs="Calibri"/>
          <w:sz w:val="16"/>
          <w:szCs w:val="16"/>
          <w:lang w:val="en-NZ"/>
        </w:rPr>
        <w:t xml:space="preserve"> </w:t>
      </w:r>
      <w:r w:rsidR="00EA7D51" w:rsidRPr="000417E9">
        <w:rPr>
          <w:rFonts w:ascii="Calibri" w:hAnsi="Calibri" w:cs="Calibri"/>
          <w:sz w:val="16"/>
          <w:szCs w:val="16"/>
          <w:lang w:val="en-NZ"/>
        </w:rPr>
        <w:t>Poster presentati</w:t>
      </w:r>
      <w:r>
        <w:rPr>
          <w:rFonts w:ascii="Calibri" w:hAnsi="Calibri" w:cs="Calibri"/>
          <w:sz w:val="16"/>
          <w:szCs w:val="16"/>
          <w:lang w:val="en-NZ"/>
        </w:rPr>
        <w:t>on</w:t>
      </w:r>
    </w:p>
    <w:p w14:paraId="301E92C5"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238F06" w14:textId="77777777" w:rsidR="006737FB" w:rsidRDefault="006737FB">
      <w:r>
        <w:separator/>
      </w:r>
    </w:p>
  </w:endnote>
  <w:endnote w:type="continuationSeparator" w:id="0">
    <w:p w14:paraId="32C2BBB9" w14:textId="77777777" w:rsidR="006737FB" w:rsidRDefault="00673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55D07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A7E2CA0" wp14:editId="2582B5E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6615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A0DC1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A7E2CA0"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7E16615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A0DC1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288B569" wp14:editId="71A43ED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2D3F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60A9EC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88B56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3082D3F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60A9EC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50C3CDD" wp14:editId="0187B3F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9333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A9F896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0C3CD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7F29333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A9F896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4F9C42" w14:textId="77777777" w:rsidR="006737FB" w:rsidRDefault="006737FB">
      <w:r>
        <w:separator/>
      </w:r>
    </w:p>
  </w:footnote>
  <w:footnote w:type="continuationSeparator" w:id="0">
    <w:p w14:paraId="65BCE200" w14:textId="77777777" w:rsidR="006737FB" w:rsidRDefault="006737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B9D0AFC"/>
    <w:multiLevelType w:val="hybridMultilevel"/>
    <w:tmpl w:val="1346E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17E9"/>
    <w:rsid w:val="000534A1"/>
    <w:rsid w:val="0006797A"/>
    <w:rsid w:val="000B4CAA"/>
    <w:rsid w:val="000E2911"/>
    <w:rsid w:val="001263DF"/>
    <w:rsid w:val="00292ED9"/>
    <w:rsid w:val="0034637C"/>
    <w:rsid w:val="00351D9B"/>
    <w:rsid w:val="00380299"/>
    <w:rsid w:val="003E1DA2"/>
    <w:rsid w:val="004027DE"/>
    <w:rsid w:val="00404E5B"/>
    <w:rsid w:val="00414F7B"/>
    <w:rsid w:val="004355DC"/>
    <w:rsid w:val="004749B4"/>
    <w:rsid w:val="00475D20"/>
    <w:rsid w:val="00494130"/>
    <w:rsid w:val="004F3523"/>
    <w:rsid w:val="00590D60"/>
    <w:rsid w:val="005973B9"/>
    <w:rsid w:val="005B3A56"/>
    <w:rsid w:val="005C000C"/>
    <w:rsid w:val="006060CE"/>
    <w:rsid w:val="0061505C"/>
    <w:rsid w:val="0063497F"/>
    <w:rsid w:val="006737FB"/>
    <w:rsid w:val="00691587"/>
    <w:rsid w:val="00714354"/>
    <w:rsid w:val="00850DD6"/>
    <w:rsid w:val="00873DF0"/>
    <w:rsid w:val="008756E6"/>
    <w:rsid w:val="00897EC5"/>
    <w:rsid w:val="008A0763"/>
    <w:rsid w:val="008E5477"/>
    <w:rsid w:val="009241E0"/>
    <w:rsid w:val="009B2D44"/>
    <w:rsid w:val="00A01162"/>
    <w:rsid w:val="00A07E82"/>
    <w:rsid w:val="00A23DAD"/>
    <w:rsid w:val="00A52075"/>
    <w:rsid w:val="00A9710C"/>
    <w:rsid w:val="00AE3E37"/>
    <w:rsid w:val="00B21A57"/>
    <w:rsid w:val="00BE6743"/>
    <w:rsid w:val="00C33602"/>
    <w:rsid w:val="00C56C74"/>
    <w:rsid w:val="00CD6F55"/>
    <w:rsid w:val="00CE184C"/>
    <w:rsid w:val="00D8733A"/>
    <w:rsid w:val="00DE3104"/>
    <w:rsid w:val="00DE6170"/>
    <w:rsid w:val="00E30AAC"/>
    <w:rsid w:val="00E95D97"/>
    <w:rsid w:val="00EA7D51"/>
    <w:rsid w:val="00F046EA"/>
    <w:rsid w:val="00F312EA"/>
    <w:rsid w:val="00F35A62"/>
    <w:rsid w:val="00F514D0"/>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0CC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A0116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A011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65F24-49C0-4A32-8B77-7D4488028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 Summit on Affiliate Marketing</cp:lastModifiedBy>
  <cp:revision>2</cp:revision>
  <dcterms:created xsi:type="dcterms:W3CDTF">2023-03-18T03:47:00Z</dcterms:created>
  <dcterms:modified xsi:type="dcterms:W3CDTF">2023-03-18T03:47:00Z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