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24247BE" w:rsidR="00B165A0" w:rsidRPr="00AC7B9D" w:rsidRDefault="00DC1084" w:rsidP="00AC7B9D">
      <w:pPr>
        <w:spacing w:after="0" w:line="360" w:lineRule="auto"/>
        <w:jc w:val="both"/>
        <w:rPr>
          <w:rFonts w:ascii="Times New Roman" w:eastAsia="Times New Roman" w:hAnsi="Times New Roman" w:cs="Times New Roman"/>
          <w:b/>
          <w:sz w:val="28"/>
          <w:szCs w:val="24"/>
        </w:rPr>
      </w:pPr>
      <w:r w:rsidRPr="00AC7B9D">
        <w:rPr>
          <w:rFonts w:ascii="Times New Roman" w:eastAsia="Times New Roman" w:hAnsi="Times New Roman" w:cs="Times New Roman"/>
          <w:b/>
          <w:sz w:val="28"/>
          <w:szCs w:val="24"/>
        </w:rPr>
        <w:t>Crude oil degradation by developed bacterial consortia</w:t>
      </w:r>
    </w:p>
    <w:p w14:paraId="00000002" w14:textId="77777777" w:rsidR="00B165A0" w:rsidRPr="00AC7B9D" w:rsidRDefault="00DC1084" w:rsidP="00AC7B9D">
      <w:pPr>
        <w:spacing w:after="0" w:line="360" w:lineRule="auto"/>
        <w:rPr>
          <w:rFonts w:ascii="Times New Roman" w:eastAsia="Times New Roman" w:hAnsi="Times New Roman" w:cs="Times New Roman"/>
          <w:b/>
          <w:sz w:val="24"/>
          <w:szCs w:val="24"/>
        </w:rPr>
      </w:pPr>
      <w:bookmarkStart w:id="0" w:name="_gjdgxs" w:colFirst="0" w:colLast="0"/>
      <w:bookmarkEnd w:id="0"/>
      <w:r w:rsidRPr="00AC7B9D">
        <w:rPr>
          <w:rFonts w:ascii="Times New Roman" w:eastAsia="Times New Roman" w:hAnsi="Times New Roman" w:cs="Times New Roman"/>
          <w:b/>
          <w:sz w:val="24"/>
          <w:szCs w:val="24"/>
        </w:rPr>
        <w:t xml:space="preserve">C. </w:t>
      </w:r>
      <w:proofErr w:type="spellStart"/>
      <w:r w:rsidRPr="00AC7B9D">
        <w:rPr>
          <w:rFonts w:ascii="Times New Roman" w:eastAsia="Times New Roman" w:hAnsi="Times New Roman" w:cs="Times New Roman"/>
          <w:b/>
          <w:sz w:val="24"/>
          <w:szCs w:val="24"/>
        </w:rPr>
        <w:t>Vanlalhmangaihsangi</w:t>
      </w:r>
      <w:proofErr w:type="spellEnd"/>
      <w:r w:rsidRPr="00AC7B9D">
        <w:rPr>
          <w:rFonts w:ascii="Times New Roman" w:eastAsia="Times New Roman" w:hAnsi="Times New Roman" w:cs="Times New Roman"/>
          <w:b/>
          <w:sz w:val="24"/>
          <w:szCs w:val="24"/>
        </w:rPr>
        <w:t xml:space="preserve">*, N. </w:t>
      </w:r>
      <w:proofErr w:type="spellStart"/>
      <w:r w:rsidRPr="00AC7B9D">
        <w:rPr>
          <w:rFonts w:ascii="Times New Roman" w:eastAsia="Times New Roman" w:hAnsi="Times New Roman" w:cs="Times New Roman"/>
          <w:b/>
          <w:sz w:val="24"/>
          <w:szCs w:val="24"/>
        </w:rPr>
        <w:t>Anjana</w:t>
      </w:r>
      <w:proofErr w:type="spellEnd"/>
      <w:r w:rsidRPr="00AC7B9D">
        <w:rPr>
          <w:rFonts w:ascii="Times New Roman" w:eastAsia="Times New Roman" w:hAnsi="Times New Roman" w:cs="Times New Roman"/>
          <w:b/>
          <w:sz w:val="24"/>
          <w:szCs w:val="24"/>
        </w:rPr>
        <w:t xml:space="preserve"> </w:t>
      </w:r>
      <w:proofErr w:type="spellStart"/>
      <w:r w:rsidRPr="00AC7B9D">
        <w:rPr>
          <w:rFonts w:ascii="Times New Roman" w:eastAsia="Times New Roman" w:hAnsi="Times New Roman" w:cs="Times New Roman"/>
          <w:b/>
          <w:sz w:val="24"/>
          <w:szCs w:val="24"/>
        </w:rPr>
        <w:t>Singha</w:t>
      </w:r>
      <w:proofErr w:type="spellEnd"/>
      <w:r w:rsidRPr="00AC7B9D">
        <w:rPr>
          <w:rFonts w:ascii="Times New Roman" w:eastAsia="Times New Roman" w:hAnsi="Times New Roman" w:cs="Times New Roman"/>
          <w:b/>
          <w:sz w:val="24"/>
          <w:szCs w:val="24"/>
        </w:rPr>
        <w:t xml:space="preserve"> </w:t>
      </w:r>
      <w:r w:rsidRPr="00AC7B9D">
        <w:rPr>
          <w:rFonts w:ascii="Times New Roman" w:eastAsia="Times New Roman" w:hAnsi="Times New Roman" w:cs="Times New Roman"/>
          <w:sz w:val="24"/>
          <w:szCs w:val="24"/>
        </w:rPr>
        <w:t xml:space="preserve">and </w:t>
      </w:r>
      <w:r w:rsidRPr="00AC7B9D">
        <w:rPr>
          <w:rFonts w:ascii="Times New Roman" w:eastAsia="Times New Roman" w:hAnsi="Times New Roman" w:cs="Times New Roman"/>
          <w:b/>
          <w:sz w:val="24"/>
          <w:szCs w:val="24"/>
        </w:rPr>
        <w:t>Arvind K. Singh</w:t>
      </w:r>
    </w:p>
    <w:p w14:paraId="00000004" w14:textId="064B1CEA" w:rsidR="00B165A0" w:rsidRPr="00AC7B9D" w:rsidRDefault="00DC1084" w:rsidP="00AC7B9D">
      <w:pPr>
        <w:spacing w:after="0" w:line="360" w:lineRule="auto"/>
        <w:rPr>
          <w:rFonts w:ascii="Times New Roman" w:eastAsia="Times New Roman" w:hAnsi="Times New Roman" w:cs="Times New Roman"/>
          <w:sz w:val="24"/>
          <w:szCs w:val="24"/>
        </w:rPr>
      </w:pPr>
      <w:r w:rsidRPr="00AC7B9D">
        <w:rPr>
          <w:rFonts w:ascii="Times New Roman" w:eastAsia="Times New Roman" w:hAnsi="Times New Roman" w:cs="Times New Roman"/>
          <w:sz w:val="24"/>
          <w:szCs w:val="24"/>
        </w:rPr>
        <w:t>Department of Biochemistry</w:t>
      </w:r>
      <w:r w:rsidR="00AC7B9D" w:rsidRPr="00AC7B9D">
        <w:rPr>
          <w:rFonts w:ascii="Times New Roman" w:eastAsia="Times New Roman" w:hAnsi="Times New Roman" w:cs="Times New Roman"/>
          <w:sz w:val="24"/>
          <w:szCs w:val="24"/>
        </w:rPr>
        <w:t>, North Eastern Hill University,</w:t>
      </w:r>
      <w:r w:rsidRPr="00AC7B9D">
        <w:rPr>
          <w:rFonts w:ascii="Times New Roman" w:eastAsia="Times New Roman" w:hAnsi="Times New Roman" w:cs="Times New Roman"/>
          <w:sz w:val="24"/>
          <w:szCs w:val="24"/>
        </w:rPr>
        <w:t xml:space="preserve"> India</w:t>
      </w:r>
    </w:p>
    <w:p w14:paraId="00000006" w14:textId="77777777" w:rsidR="00B165A0" w:rsidRPr="00AC7B9D" w:rsidRDefault="00B165A0">
      <w:pPr>
        <w:spacing w:after="0" w:line="360" w:lineRule="auto"/>
        <w:jc w:val="center"/>
        <w:rPr>
          <w:rFonts w:ascii="Times New Roman" w:eastAsia="Times New Roman" w:hAnsi="Times New Roman" w:cs="Times New Roman"/>
          <w:i/>
          <w:sz w:val="24"/>
          <w:szCs w:val="24"/>
        </w:rPr>
      </w:pPr>
    </w:p>
    <w:p w14:paraId="00000007" w14:textId="77777777" w:rsidR="00B165A0" w:rsidRPr="00AC7B9D" w:rsidRDefault="00DC1084" w:rsidP="00AC7B9D">
      <w:pPr>
        <w:spacing w:line="360" w:lineRule="auto"/>
        <w:jc w:val="center"/>
        <w:rPr>
          <w:rFonts w:ascii="Times New Roman" w:eastAsia="Times New Roman" w:hAnsi="Times New Roman" w:cs="Times New Roman"/>
          <w:b/>
          <w:sz w:val="24"/>
          <w:szCs w:val="24"/>
        </w:rPr>
      </w:pPr>
      <w:r w:rsidRPr="00AC7B9D">
        <w:rPr>
          <w:rFonts w:ascii="Times New Roman" w:eastAsia="Times New Roman" w:hAnsi="Times New Roman" w:cs="Times New Roman"/>
          <w:b/>
          <w:sz w:val="24"/>
          <w:szCs w:val="24"/>
        </w:rPr>
        <w:t>Abstract</w:t>
      </w:r>
    </w:p>
    <w:p w14:paraId="00000008" w14:textId="77777777" w:rsidR="00B165A0" w:rsidRPr="00AC7B9D" w:rsidRDefault="00DC1084">
      <w:pPr>
        <w:spacing w:line="360" w:lineRule="auto"/>
        <w:jc w:val="both"/>
        <w:rPr>
          <w:rFonts w:ascii="Times New Roman" w:eastAsia="Times New Roman" w:hAnsi="Times New Roman" w:cs="Times New Roman"/>
          <w:sz w:val="24"/>
          <w:szCs w:val="24"/>
        </w:rPr>
      </w:pPr>
      <w:bookmarkStart w:id="1" w:name="_30j0zll" w:colFirst="0" w:colLast="0"/>
      <w:bookmarkEnd w:id="1"/>
      <w:r w:rsidRPr="00AC7B9D">
        <w:rPr>
          <w:rFonts w:ascii="Times New Roman" w:eastAsia="Times New Roman" w:hAnsi="Times New Roman" w:cs="Times New Roman"/>
          <w:sz w:val="24"/>
          <w:szCs w:val="24"/>
        </w:rPr>
        <w:t xml:space="preserve">Crude oil contains large quantities of toxic hydrocarbons. Spillage of crude oil has been a major environmental and human health concern. Analysis of crude oil has revealed more than 60,000 components with some being highly toxic. These toxic hydrocarbons are included in the list of priority pollutants by the United States Environmental Protection Agency (USEPA 2014). The present study is an attempt to understand the hydrocarbon degradation of native population in oily sludge using bacterial consortium developed from oily sludge from </w:t>
      </w:r>
      <w:proofErr w:type="spellStart"/>
      <w:r w:rsidRPr="00AC7B9D">
        <w:rPr>
          <w:rFonts w:ascii="Times New Roman" w:eastAsia="Times New Roman" w:hAnsi="Times New Roman" w:cs="Times New Roman"/>
          <w:sz w:val="24"/>
          <w:szCs w:val="24"/>
        </w:rPr>
        <w:t>Noonmati</w:t>
      </w:r>
      <w:proofErr w:type="spellEnd"/>
      <w:r w:rsidRPr="00AC7B9D">
        <w:rPr>
          <w:rFonts w:ascii="Times New Roman" w:eastAsia="Times New Roman" w:hAnsi="Times New Roman" w:cs="Times New Roman"/>
          <w:sz w:val="24"/>
          <w:szCs w:val="24"/>
        </w:rPr>
        <w:t xml:space="preserve"> refinery (26</w:t>
      </w:r>
      <w:r w:rsidRPr="00AC7B9D">
        <w:rPr>
          <w:rFonts w:ascii="Times New Roman" w:eastAsia="Times New Roman" w:hAnsi="Times New Roman" w:cs="Times New Roman"/>
          <w:sz w:val="24"/>
          <w:szCs w:val="24"/>
          <w:vertAlign w:val="superscript"/>
        </w:rPr>
        <w:t>0</w:t>
      </w:r>
      <w:r w:rsidRPr="00AC7B9D">
        <w:rPr>
          <w:rFonts w:ascii="Times New Roman" w:eastAsia="Times New Roman" w:hAnsi="Times New Roman" w:cs="Times New Roman"/>
          <w:sz w:val="24"/>
          <w:szCs w:val="24"/>
        </w:rPr>
        <w:t>12ʹ7ʺ N and 91</w:t>
      </w:r>
      <w:r w:rsidRPr="00AC7B9D">
        <w:rPr>
          <w:rFonts w:ascii="Times New Roman" w:eastAsia="Times New Roman" w:hAnsi="Times New Roman" w:cs="Times New Roman"/>
          <w:sz w:val="24"/>
          <w:szCs w:val="24"/>
          <w:vertAlign w:val="superscript"/>
        </w:rPr>
        <w:t>0</w:t>
      </w:r>
      <w:r w:rsidRPr="00AC7B9D">
        <w:rPr>
          <w:rFonts w:ascii="Times New Roman" w:eastAsia="Times New Roman" w:hAnsi="Times New Roman" w:cs="Times New Roman"/>
          <w:sz w:val="24"/>
          <w:szCs w:val="24"/>
        </w:rPr>
        <w:t>47ʹ29ʺ E), Assam, India. The consortia were enriched at different concentrations 1% and 3% of crude oil and at 25°C incubation temperature. The microbial hydrocarbon degradation activity was estimated in terms of CO</w:t>
      </w:r>
      <w:r w:rsidRPr="00AC7B9D">
        <w:rPr>
          <w:rFonts w:ascii="Times New Roman" w:eastAsia="Times New Roman" w:hAnsi="Times New Roman" w:cs="Times New Roman"/>
          <w:sz w:val="24"/>
          <w:szCs w:val="24"/>
          <w:vertAlign w:val="subscript"/>
        </w:rPr>
        <w:t>2</w:t>
      </w:r>
      <w:r w:rsidRPr="00AC7B9D">
        <w:rPr>
          <w:rFonts w:ascii="Times New Roman" w:eastAsia="Times New Roman" w:hAnsi="Times New Roman" w:cs="Times New Roman"/>
          <w:sz w:val="24"/>
          <w:szCs w:val="24"/>
        </w:rPr>
        <w:t xml:space="preserve"> evolution. The crude oil degradation was determined in terms of TPH (gravimetrically) and by using GC-MS. TPH degradation was observed to be 54% and 26.6% at 1% and 3% crude oil concentrations respectively on 10</w:t>
      </w:r>
      <w:r w:rsidRPr="00AC7B9D">
        <w:rPr>
          <w:rFonts w:ascii="Times New Roman" w:eastAsia="Times New Roman" w:hAnsi="Times New Roman" w:cs="Times New Roman"/>
          <w:sz w:val="24"/>
          <w:szCs w:val="24"/>
          <w:vertAlign w:val="superscript"/>
        </w:rPr>
        <w:t xml:space="preserve">th </w:t>
      </w:r>
      <w:r w:rsidRPr="00AC7B9D">
        <w:rPr>
          <w:rFonts w:ascii="Times New Roman" w:eastAsia="Times New Roman" w:hAnsi="Times New Roman" w:cs="Times New Roman"/>
          <w:sz w:val="24"/>
          <w:szCs w:val="24"/>
        </w:rPr>
        <w:t xml:space="preserve">day. TPH degradation activities showed a clear variation with regard to crude oil concentrations. Overall, our study revealed an effective bioremediation potential of both consortia. </w:t>
      </w:r>
    </w:p>
    <w:p w14:paraId="00000009" w14:textId="77777777" w:rsidR="00B165A0" w:rsidRPr="00AC7B9D" w:rsidRDefault="00DC1084">
      <w:pPr>
        <w:spacing w:line="360" w:lineRule="auto"/>
        <w:jc w:val="both"/>
        <w:rPr>
          <w:rFonts w:ascii="Times New Roman" w:eastAsia="Times New Roman" w:hAnsi="Times New Roman" w:cs="Times New Roman"/>
          <w:sz w:val="24"/>
          <w:szCs w:val="24"/>
        </w:rPr>
      </w:pPr>
      <w:r w:rsidRPr="00AC7B9D">
        <w:rPr>
          <w:rFonts w:ascii="Times New Roman" w:eastAsia="Times New Roman" w:hAnsi="Times New Roman" w:cs="Times New Roman"/>
          <w:b/>
          <w:sz w:val="24"/>
          <w:szCs w:val="24"/>
        </w:rPr>
        <w:t>Keywords:</w:t>
      </w:r>
      <w:r w:rsidRPr="00AC7B9D">
        <w:rPr>
          <w:rFonts w:ascii="Times New Roman" w:eastAsia="Times New Roman" w:hAnsi="Times New Roman" w:cs="Times New Roman"/>
          <w:sz w:val="24"/>
          <w:szCs w:val="24"/>
        </w:rPr>
        <w:t xml:space="preserve"> Crude oil, Consortia, Bioremediation, TPH.</w:t>
      </w:r>
    </w:p>
    <w:p w14:paraId="0000000A" w14:textId="558F633B" w:rsidR="00B165A0" w:rsidRPr="00AC7B9D" w:rsidRDefault="00AC7B9D">
      <w:pPr>
        <w:spacing w:line="360" w:lineRule="auto"/>
        <w:jc w:val="both"/>
        <w:rPr>
          <w:rFonts w:ascii="Times New Roman" w:eastAsia="Times New Roman" w:hAnsi="Times New Roman" w:cs="Times New Roman"/>
          <w:b/>
          <w:sz w:val="24"/>
          <w:szCs w:val="24"/>
        </w:rPr>
      </w:pPr>
      <w:r w:rsidRPr="00AC7B9D">
        <w:rPr>
          <w:rFonts w:ascii="Times New Roman" w:eastAsia="Times New Roman" w:hAnsi="Times New Roman" w:cs="Times New Roman"/>
          <w:b/>
          <w:sz w:val="24"/>
          <w:szCs w:val="24"/>
        </w:rPr>
        <w:t>Biography</w:t>
      </w:r>
    </w:p>
    <w:p w14:paraId="78DEC019" w14:textId="61EED7D4" w:rsidR="00AC7B9D" w:rsidRPr="00AC7B9D" w:rsidRDefault="00AC7B9D">
      <w:pPr>
        <w:spacing w:line="360" w:lineRule="auto"/>
        <w:jc w:val="both"/>
        <w:rPr>
          <w:rFonts w:ascii="Times New Roman" w:eastAsia="Times New Roman" w:hAnsi="Times New Roman" w:cs="Times New Roman"/>
          <w:sz w:val="24"/>
          <w:szCs w:val="24"/>
        </w:rPr>
      </w:pPr>
      <w:r w:rsidRPr="00AC7B9D">
        <w:rPr>
          <w:rFonts w:ascii="Times New Roman" w:eastAsia="Times New Roman" w:hAnsi="Times New Roman" w:cs="Times New Roman"/>
          <w:sz w:val="24"/>
          <w:szCs w:val="24"/>
        </w:rPr>
        <w:t xml:space="preserve">C. </w:t>
      </w:r>
      <w:proofErr w:type="spellStart"/>
      <w:r w:rsidRPr="00AC7B9D">
        <w:rPr>
          <w:rFonts w:ascii="Times New Roman" w:eastAsia="Times New Roman" w:hAnsi="Times New Roman" w:cs="Times New Roman"/>
          <w:sz w:val="24"/>
          <w:szCs w:val="24"/>
        </w:rPr>
        <w:t>Vanlalhmangaihsangi</w:t>
      </w:r>
      <w:proofErr w:type="spellEnd"/>
      <w:r>
        <w:rPr>
          <w:rFonts w:ascii="Times New Roman" w:eastAsia="Times New Roman" w:hAnsi="Times New Roman" w:cs="Times New Roman"/>
          <w:sz w:val="24"/>
          <w:szCs w:val="24"/>
        </w:rPr>
        <w:t xml:space="preserve"> is affiliated to the </w:t>
      </w:r>
      <w:r w:rsidRPr="00AC7B9D">
        <w:rPr>
          <w:rFonts w:ascii="Times New Roman" w:eastAsia="Times New Roman" w:hAnsi="Times New Roman" w:cs="Times New Roman"/>
          <w:sz w:val="24"/>
          <w:szCs w:val="24"/>
        </w:rPr>
        <w:t xml:space="preserve">Department of Biochemistry North-Eastern Hill University, Shillong-793022, </w:t>
      </w:r>
      <w:proofErr w:type="gramStart"/>
      <w:r w:rsidRPr="00AC7B9D">
        <w:rPr>
          <w:rFonts w:ascii="Times New Roman" w:eastAsia="Times New Roman" w:hAnsi="Times New Roman" w:cs="Times New Roman"/>
          <w:sz w:val="24"/>
          <w:szCs w:val="24"/>
        </w:rPr>
        <w:t>India</w:t>
      </w:r>
      <w:proofErr w:type="gramEnd"/>
      <w:r>
        <w:rPr>
          <w:rFonts w:ascii="Times New Roman" w:eastAsia="Times New Roman" w:hAnsi="Times New Roman" w:cs="Times New Roman"/>
          <w:sz w:val="24"/>
          <w:szCs w:val="24"/>
        </w:rPr>
        <w:t>.</w:t>
      </w:r>
      <w:bookmarkStart w:id="2" w:name="_GoBack"/>
      <w:bookmarkEnd w:id="2"/>
    </w:p>
    <w:sectPr w:rsidR="00AC7B9D" w:rsidRPr="00AC7B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5A0"/>
    <w:rsid w:val="00AC7B9D"/>
    <w:rsid w:val="00B165A0"/>
    <w:rsid w:val="00DC10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4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234</Words>
  <Characters>1339</Characters>
  <Application>Microsoft Office Word</Application>
  <DocSecurity>0</DocSecurity>
  <Lines>11</Lines>
  <Paragraphs>3</Paragraphs>
  <ScaleCrop>false</ScaleCrop>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Conference World Chemistry 2021</cp:lastModifiedBy>
  <cp:revision>3</cp:revision>
  <dcterms:created xsi:type="dcterms:W3CDTF">2023-03-15T10:01:00Z</dcterms:created>
  <dcterms:modified xsi:type="dcterms:W3CDTF">2023-03-16T06:21:00Z</dcterms:modified>
</cp:coreProperties>
</file>