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811" w:rsidRDefault="00A67A08">
      <w:pPr>
        <w:pStyle w:val="Heading1"/>
        <w:ind w:left="166"/>
      </w:pPr>
      <w:r>
        <w:rPr>
          <w:color w:val="538DD3"/>
          <w:w w:val="90"/>
        </w:rPr>
        <w:t>Drug</w:t>
      </w:r>
      <w:r>
        <w:rPr>
          <w:color w:val="538DD3"/>
          <w:spacing w:val="84"/>
        </w:rPr>
        <w:t xml:space="preserve"> </w:t>
      </w:r>
      <w:proofErr w:type="gramStart"/>
      <w:r>
        <w:rPr>
          <w:color w:val="538DD3"/>
          <w:w w:val="90"/>
        </w:rPr>
        <w:t>interactions</w:t>
      </w:r>
      <w:r>
        <w:rPr>
          <w:color w:val="538DD3"/>
          <w:spacing w:val="8"/>
          <w:w w:val="90"/>
        </w:rPr>
        <w:t xml:space="preserve"> </w:t>
      </w:r>
      <w:r>
        <w:rPr>
          <w:color w:val="538DD3"/>
          <w:w w:val="90"/>
        </w:rPr>
        <w:t>:Identification</w:t>
      </w:r>
      <w:proofErr w:type="gramEnd"/>
    </w:p>
    <w:p w:rsidR="00392811" w:rsidRDefault="00A67A08">
      <w:pPr>
        <w:pStyle w:val="BodyText"/>
        <w:spacing w:before="274" w:line="244" w:lineRule="auto"/>
        <w:ind w:left="166" w:right="88"/>
        <w:rPr>
          <w:rFonts w:ascii="Arial MT"/>
        </w:rPr>
      </w:pPr>
      <w:bookmarkStart w:id="0" w:name="NESRINE_HAGUI_,HOSPITAL_PHARMACIST_,CENT"/>
      <w:bookmarkEnd w:id="0"/>
      <w:r>
        <w:rPr>
          <w:rFonts w:ascii="Arial MT"/>
        </w:rPr>
        <w:t>NESRINE</w:t>
      </w:r>
      <w:r>
        <w:rPr>
          <w:rFonts w:ascii="Arial MT"/>
          <w:spacing w:val="47"/>
        </w:rPr>
        <w:t xml:space="preserve"> </w:t>
      </w:r>
      <w:proofErr w:type="gramStart"/>
      <w:r>
        <w:rPr>
          <w:rFonts w:ascii="Arial MT"/>
        </w:rPr>
        <w:t>HAGUI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,HOSPITAL</w:t>
      </w:r>
      <w:proofErr w:type="gramEnd"/>
      <w:r>
        <w:rPr>
          <w:rFonts w:ascii="Arial MT"/>
          <w:spacing w:val="44"/>
        </w:rPr>
        <w:t xml:space="preserve"> </w:t>
      </w:r>
      <w:r>
        <w:rPr>
          <w:rFonts w:ascii="Arial MT"/>
        </w:rPr>
        <w:t>PHARMACIST</w:t>
      </w:r>
      <w:r>
        <w:rPr>
          <w:rFonts w:ascii="Arial MT"/>
          <w:spacing w:val="-8"/>
        </w:rPr>
        <w:t xml:space="preserve"> </w:t>
      </w:r>
      <w:r>
        <w:rPr>
          <w:rFonts w:ascii="Arial MT"/>
        </w:rPr>
        <w:t>,CENTER</w:t>
      </w:r>
      <w:r>
        <w:rPr>
          <w:rFonts w:ascii="Arial MT"/>
          <w:spacing w:val="42"/>
        </w:rPr>
        <w:t xml:space="preserve"> </w:t>
      </w:r>
      <w:r>
        <w:rPr>
          <w:rFonts w:ascii="Arial MT"/>
        </w:rPr>
        <w:t>OF</w:t>
      </w:r>
      <w:r>
        <w:rPr>
          <w:rFonts w:ascii="Arial MT"/>
          <w:spacing w:val="-47"/>
        </w:rPr>
        <w:t xml:space="preserve"> </w:t>
      </w:r>
      <w:r>
        <w:rPr>
          <w:rFonts w:ascii="Arial MT"/>
        </w:rPr>
        <w:t>INJURIES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AND BURNT,TUNISIA</w:t>
      </w:r>
    </w:p>
    <w:p w:rsidR="00392811" w:rsidRDefault="00392811">
      <w:pPr>
        <w:pStyle w:val="BodyText"/>
        <w:spacing w:before="10"/>
        <w:rPr>
          <w:rFonts w:ascii="Arial MT"/>
          <w:sz w:val="23"/>
        </w:rPr>
      </w:pPr>
    </w:p>
    <w:p w:rsidR="00392811" w:rsidRDefault="00A67A08">
      <w:pPr>
        <w:pStyle w:val="Heading2"/>
      </w:pPr>
      <w:bookmarkStart w:id="1" w:name="Abstract"/>
      <w:bookmarkEnd w:id="1"/>
      <w:r>
        <w:rPr>
          <w:color w:val="BE5A13"/>
        </w:rPr>
        <w:t>Abstract</w:t>
      </w:r>
    </w:p>
    <w:p w:rsidR="00392811" w:rsidRDefault="00392811">
      <w:pPr>
        <w:pStyle w:val="BodyText"/>
        <w:spacing w:before="6"/>
        <w:rPr>
          <w:rFonts w:ascii="Arial"/>
          <w:b/>
          <w:sz w:val="24"/>
        </w:rPr>
      </w:pPr>
    </w:p>
    <w:p w:rsidR="00392811" w:rsidRDefault="00A67A08">
      <w:pPr>
        <w:pStyle w:val="BodyText"/>
        <w:spacing w:line="360" w:lineRule="auto"/>
        <w:ind w:left="108" w:right="95"/>
        <w:jc w:val="both"/>
        <w:rPr>
          <w:rFonts w:ascii="Segoe UI"/>
        </w:rPr>
      </w:pPr>
      <w:r>
        <w:rPr>
          <w:b/>
        </w:rPr>
        <w:t>Statement of the Problem</w:t>
      </w:r>
      <w:r>
        <w:t xml:space="preserve">: </w:t>
      </w:r>
      <w:r>
        <w:rPr>
          <w:rFonts w:ascii="Segoe UI"/>
          <w:color w:val="202020"/>
        </w:rPr>
        <w:t>The risk for drug-drug interactions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and related adverse side effects increases with the number of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simultaneously</w:t>
      </w:r>
      <w:r>
        <w:rPr>
          <w:rFonts w:ascii="Segoe UI"/>
          <w:color w:val="202020"/>
          <w:spacing w:val="-5"/>
        </w:rPr>
        <w:t xml:space="preserve"> </w:t>
      </w:r>
      <w:r>
        <w:rPr>
          <w:rFonts w:ascii="Segoe UI"/>
          <w:color w:val="202020"/>
        </w:rPr>
        <w:t>administered</w:t>
      </w:r>
      <w:r>
        <w:rPr>
          <w:rFonts w:ascii="Segoe UI"/>
          <w:color w:val="202020"/>
          <w:spacing w:val="-4"/>
        </w:rPr>
        <w:t xml:space="preserve"> </w:t>
      </w:r>
      <w:r>
        <w:rPr>
          <w:rFonts w:ascii="Segoe UI"/>
          <w:color w:val="202020"/>
        </w:rPr>
        <w:t>drugs.</w:t>
      </w:r>
    </w:p>
    <w:p w:rsidR="00392811" w:rsidRDefault="00A67A08">
      <w:pPr>
        <w:pStyle w:val="BodyText"/>
        <w:spacing w:line="360" w:lineRule="auto"/>
        <w:ind w:left="108" w:right="98"/>
        <w:jc w:val="both"/>
        <w:rPr>
          <w:rFonts w:ascii="Segoe UI"/>
        </w:rPr>
      </w:pPr>
      <w:r>
        <w:rPr>
          <w:rFonts w:ascii="Segoe UI"/>
          <w:color w:val="202020"/>
        </w:rPr>
        <w:t>Drug interactions potentiate or oppose the therapeutic of one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co-administered</w:t>
      </w:r>
      <w:r>
        <w:rPr>
          <w:rFonts w:ascii="Segoe UI"/>
          <w:color w:val="202020"/>
          <w:spacing w:val="-4"/>
        </w:rPr>
        <w:t xml:space="preserve"> </w:t>
      </w:r>
      <w:r>
        <w:rPr>
          <w:rFonts w:ascii="Segoe UI"/>
          <w:color w:val="202020"/>
        </w:rPr>
        <w:t>drugs.</w:t>
      </w:r>
    </w:p>
    <w:p w:rsidR="00392811" w:rsidRDefault="00A67A08">
      <w:pPr>
        <w:pStyle w:val="BodyText"/>
        <w:spacing w:before="2" w:line="360" w:lineRule="auto"/>
        <w:ind w:left="108" w:right="90"/>
        <w:jc w:val="both"/>
        <w:rPr>
          <w:rFonts w:ascii="Segoe UI"/>
        </w:rPr>
      </w:pPr>
      <w:proofErr w:type="gramStart"/>
      <w:r>
        <w:rPr>
          <w:rFonts w:ascii="Segoe UI"/>
          <w:b/>
          <w:color w:val="202020"/>
        </w:rPr>
        <w:t xml:space="preserve">Objective </w:t>
      </w:r>
      <w:r>
        <w:rPr>
          <w:rFonts w:ascii="Segoe UI"/>
          <w:color w:val="202020"/>
        </w:rPr>
        <w:t>:</w:t>
      </w:r>
      <w:proofErr w:type="gramEnd"/>
      <w:r>
        <w:rPr>
          <w:rFonts w:ascii="Segoe UI"/>
          <w:color w:val="202020"/>
        </w:rPr>
        <w:t xml:space="preserve"> The aim of this study is to identify and prevent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drug-drug interactions in the unit of anesthesia reanimation</w:t>
      </w:r>
      <w:r>
        <w:rPr>
          <w:rFonts w:ascii="Segoe UI"/>
          <w:color w:val="202020"/>
          <w:spacing w:val="1"/>
        </w:rPr>
        <w:t xml:space="preserve"> </w:t>
      </w:r>
      <w:r>
        <w:rPr>
          <w:b/>
        </w:rPr>
        <w:t>Methodology &amp;</w:t>
      </w:r>
      <w:r>
        <w:rPr>
          <w:b/>
        </w:rPr>
        <w:t xml:space="preserve"> Theoretical Orientation </w:t>
      </w:r>
      <w:r>
        <w:t xml:space="preserve">: </w:t>
      </w:r>
      <w:r>
        <w:rPr>
          <w:rFonts w:ascii="Segoe UI"/>
          <w:color w:val="202020"/>
        </w:rPr>
        <w:t>To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identify drug-drug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interactions,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a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study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was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achieved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in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the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anesthesia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reanimation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unit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where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interactions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of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56</w:t>
      </w:r>
      <w:r>
        <w:rPr>
          <w:rFonts w:ascii="Segoe UI"/>
          <w:color w:val="202020"/>
          <w:spacing w:val="1"/>
        </w:rPr>
        <w:t xml:space="preserve"> </w:t>
      </w:r>
      <w:proofErr w:type="spellStart"/>
      <w:r>
        <w:rPr>
          <w:rFonts w:ascii="Segoe UI"/>
          <w:color w:val="202020"/>
        </w:rPr>
        <w:t>aticles</w:t>
      </w:r>
      <w:proofErr w:type="spellEnd"/>
      <w:r>
        <w:rPr>
          <w:rFonts w:ascii="Segoe UI"/>
          <w:color w:val="202020"/>
          <w:spacing w:val="49"/>
        </w:rPr>
        <w:t xml:space="preserve"> </w:t>
      </w:r>
      <w:r>
        <w:rPr>
          <w:rFonts w:ascii="Segoe UI"/>
          <w:color w:val="202020"/>
        </w:rPr>
        <w:t>were</w:t>
      </w:r>
      <w:r>
        <w:rPr>
          <w:rFonts w:ascii="Segoe UI"/>
          <w:color w:val="202020"/>
          <w:spacing w:val="1"/>
        </w:rPr>
        <w:t xml:space="preserve"> </w:t>
      </w:r>
      <w:proofErr w:type="spellStart"/>
      <w:r>
        <w:rPr>
          <w:rFonts w:ascii="Segoe UI"/>
          <w:color w:val="202020"/>
        </w:rPr>
        <w:t>analysed</w:t>
      </w:r>
      <w:proofErr w:type="spellEnd"/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then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a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poster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was</w:t>
      </w:r>
      <w:r>
        <w:rPr>
          <w:rFonts w:ascii="Segoe UI"/>
          <w:color w:val="202020"/>
          <w:spacing w:val="49"/>
        </w:rPr>
        <w:t xml:space="preserve"> </w:t>
      </w:r>
      <w:r>
        <w:rPr>
          <w:rFonts w:ascii="Segoe UI"/>
          <w:color w:val="202020"/>
        </w:rPr>
        <w:t xml:space="preserve">established including </w:t>
      </w:r>
      <w:proofErr w:type="spellStart"/>
      <w:r>
        <w:rPr>
          <w:rFonts w:ascii="Segoe UI"/>
          <w:color w:val="202020"/>
        </w:rPr>
        <w:t>diferent</w:t>
      </w:r>
      <w:proofErr w:type="spellEnd"/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 xml:space="preserve">types of interactions and </w:t>
      </w:r>
      <w:proofErr w:type="spellStart"/>
      <w:r>
        <w:rPr>
          <w:rFonts w:ascii="Segoe UI"/>
          <w:color w:val="202020"/>
        </w:rPr>
        <w:t>distribuated</w:t>
      </w:r>
      <w:proofErr w:type="spellEnd"/>
      <w:r>
        <w:rPr>
          <w:rFonts w:ascii="Segoe UI"/>
          <w:color w:val="202020"/>
        </w:rPr>
        <w:t xml:space="preserve"> to</w:t>
      </w:r>
      <w:r>
        <w:rPr>
          <w:rFonts w:ascii="Segoe UI"/>
          <w:color w:val="202020"/>
        </w:rPr>
        <w:t xml:space="preserve"> all the units of the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center.</w:t>
      </w:r>
    </w:p>
    <w:p w:rsidR="00392811" w:rsidRDefault="00A67A08">
      <w:pPr>
        <w:pStyle w:val="BodyText"/>
        <w:spacing w:before="3" w:line="362" w:lineRule="auto"/>
        <w:ind w:left="108" w:right="87"/>
        <w:jc w:val="both"/>
      </w:pPr>
      <w:proofErr w:type="gramStart"/>
      <w:r>
        <w:rPr>
          <w:b/>
        </w:rPr>
        <w:t xml:space="preserve">Findings </w:t>
      </w:r>
      <w:r>
        <w:t>:</w:t>
      </w:r>
      <w:proofErr w:type="gramEnd"/>
      <w:r>
        <w:t xml:space="preserve"> The study concluded</w:t>
      </w:r>
      <w:r>
        <w:rPr>
          <w:spacing w:val="1"/>
        </w:rPr>
        <w:t xml:space="preserve"> </w:t>
      </w:r>
      <w:r>
        <w:t>to 8</w:t>
      </w:r>
      <w:r>
        <w:rPr>
          <w:spacing w:val="1"/>
        </w:rPr>
        <w:t xml:space="preserve"> </w:t>
      </w:r>
      <w:proofErr w:type="spellStart"/>
      <w:r>
        <w:t>contraintrindication</w:t>
      </w:r>
      <w:proofErr w:type="spellEnd"/>
      <w:r>
        <w:t xml:space="preserve"> (1.25%),</w:t>
      </w:r>
      <w:r>
        <w:rPr>
          <w:spacing w:val="1"/>
        </w:rPr>
        <w:t xml:space="preserve"> </w:t>
      </w:r>
      <w:r>
        <w:t>297</w:t>
      </w:r>
      <w:r>
        <w:rPr>
          <w:spacing w:val="-1"/>
        </w:rPr>
        <w:t xml:space="preserve"> </w:t>
      </w:r>
      <w:r>
        <w:t>cautions</w:t>
      </w:r>
      <w:r>
        <w:rPr>
          <w:spacing w:val="-3"/>
        </w:rPr>
        <w:t xml:space="preserve"> </w:t>
      </w:r>
      <w:r>
        <w:t>(46.4%),</w:t>
      </w:r>
      <w:r>
        <w:rPr>
          <w:spacing w:val="-1"/>
        </w:rPr>
        <w:t xml:space="preserve"> </w:t>
      </w:r>
      <w:r>
        <w:t>163</w:t>
      </w:r>
      <w:r>
        <w:rPr>
          <w:spacing w:val="-5"/>
        </w:rPr>
        <w:t xml:space="preserve"> </w:t>
      </w:r>
      <w:r>
        <w:t>precautions</w:t>
      </w:r>
      <w:r>
        <w:rPr>
          <w:spacing w:val="-3"/>
        </w:rPr>
        <w:t xml:space="preserve"> </w:t>
      </w:r>
      <w:proofErr w:type="spellStart"/>
      <w:r>
        <w:t>employement</w:t>
      </w:r>
      <w:proofErr w:type="spellEnd"/>
      <w:r>
        <w:t xml:space="preserve"> (25.46%)</w:t>
      </w:r>
    </w:p>
    <w:p w:rsidR="00392811" w:rsidRDefault="00A67A08">
      <w:pPr>
        <w:pStyle w:val="BodyText"/>
        <w:spacing w:line="214" w:lineRule="exact"/>
        <w:ind w:left="108"/>
        <w:jc w:val="both"/>
      </w:pPr>
      <w:proofErr w:type="gramStart"/>
      <w:r>
        <w:t>and</w:t>
      </w:r>
      <w:proofErr w:type="gramEnd"/>
      <w:r>
        <w:rPr>
          <w:spacing w:val="39"/>
        </w:rPr>
        <w:t xml:space="preserve"> </w:t>
      </w:r>
      <w:r>
        <w:t>172 associations</w:t>
      </w:r>
      <w:r>
        <w:rPr>
          <w:spacing w:val="35"/>
        </w:rPr>
        <w:t xml:space="preserve"> </w:t>
      </w:r>
      <w:r>
        <w:t>not</w:t>
      </w:r>
      <w:r>
        <w:rPr>
          <w:spacing w:val="-3"/>
        </w:rPr>
        <w:t xml:space="preserve"> </w:t>
      </w:r>
      <w:proofErr w:type="spellStart"/>
      <w:r>
        <w:t>recommanded</w:t>
      </w:r>
      <w:proofErr w:type="spellEnd"/>
      <w:r>
        <w:rPr>
          <w:spacing w:val="-2"/>
        </w:rPr>
        <w:t xml:space="preserve"> </w:t>
      </w:r>
      <w:r>
        <w:t>(26.87%)</w:t>
      </w:r>
    </w:p>
    <w:p w:rsidR="00392811" w:rsidRDefault="00A67A08">
      <w:pPr>
        <w:spacing w:before="108" w:line="360" w:lineRule="auto"/>
        <w:ind w:left="108" w:right="94"/>
        <w:jc w:val="both"/>
        <w:rPr>
          <w:rFonts w:ascii="Segoe UI"/>
          <w:sz w:val="18"/>
        </w:rPr>
      </w:pPr>
      <w:r>
        <w:rPr>
          <w:rFonts w:ascii="Times New Roman"/>
          <w:b/>
          <w:sz w:val="18"/>
        </w:rPr>
        <w:t>Conclusion &amp; Significance</w:t>
      </w:r>
      <w:r>
        <w:rPr>
          <w:rFonts w:ascii="Times New Roman"/>
          <w:sz w:val="18"/>
        </w:rPr>
        <w:t xml:space="preserve">: </w:t>
      </w:r>
      <w:r>
        <w:rPr>
          <w:rFonts w:ascii="Segoe UI"/>
          <w:color w:val="202020"/>
          <w:sz w:val="18"/>
        </w:rPr>
        <w:t>To prevent</w:t>
      </w:r>
      <w:r>
        <w:rPr>
          <w:rFonts w:ascii="Segoe UI"/>
          <w:color w:val="202020"/>
          <w:spacing w:val="1"/>
          <w:sz w:val="18"/>
        </w:rPr>
        <w:t xml:space="preserve"> </w:t>
      </w:r>
      <w:r>
        <w:rPr>
          <w:rFonts w:ascii="Segoe UI"/>
          <w:color w:val="202020"/>
          <w:sz w:val="18"/>
        </w:rPr>
        <w:t>an</w:t>
      </w:r>
      <w:r>
        <w:rPr>
          <w:rFonts w:ascii="Segoe UI"/>
          <w:color w:val="202020"/>
          <w:spacing w:val="49"/>
          <w:sz w:val="18"/>
        </w:rPr>
        <w:t xml:space="preserve"> </w:t>
      </w:r>
      <w:r>
        <w:rPr>
          <w:rFonts w:ascii="Segoe UI"/>
          <w:color w:val="202020"/>
          <w:sz w:val="18"/>
        </w:rPr>
        <w:t>eventual interaction</w:t>
      </w:r>
      <w:r>
        <w:rPr>
          <w:rFonts w:ascii="Segoe UI"/>
          <w:color w:val="202020"/>
          <w:spacing w:val="-47"/>
          <w:sz w:val="18"/>
        </w:rPr>
        <w:t xml:space="preserve"> </w:t>
      </w:r>
      <w:r>
        <w:rPr>
          <w:rFonts w:ascii="Segoe UI"/>
          <w:color w:val="202020"/>
          <w:sz w:val="18"/>
        </w:rPr>
        <w:t>a</w:t>
      </w:r>
      <w:r>
        <w:rPr>
          <w:rFonts w:ascii="Segoe UI"/>
          <w:color w:val="202020"/>
          <w:spacing w:val="-3"/>
          <w:sz w:val="18"/>
        </w:rPr>
        <w:t xml:space="preserve"> </w:t>
      </w:r>
      <w:r>
        <w:rPr>
          <w:rFonts w:ascii="Segoe UI"/>
          <w:color w:val="202020"/>
          <w:sz w:val="18"/>
        </w:rPr>
        <w:t>poster</w:t>
      </w:r>
      <w:r>
        <w:rPr>
          <w:rFonts w:ascii="Segoe UI"/>
          <w:color w:val="202020"/>
          <w:spacing w:val="45"/>
          <w:sz w:val="18"/>
        </w:rPr>
        <w:t xml:space="preserve"> </w:t>
      </w:r>
      <w:r>
        <w:rPr>
          <w:rFonts w:ascii="Segoe UI"/>
          <w:color w:val="202020"/>
          <w:sz w:val="18"/>
        </w:rPr>
        <w:t>has</w:t>
      </w:r>
      <w:r>
        <w:rPr>
          <w:rFonts w:ascii="Segoe UI"/>
          <w:color w:val="202020"/>
          <w:spacing w:val="-1"/>
          <w:sz w:val="18"/>
        </w:rPr>
        <w:t xml:space="preserve"> </w:t>
      </w:r>
      <w:r>
        <w:rPr>
          <w:rFonts w:ascii="Segoe UI"/>
          <w:color w:val="202020"/>
          <w:sz w:val="18"/>
        </w:rPr>
        <w:t>been</w:t>
      </w:r>
      <w:r>
        <w:rPr>
          <w:rFonts w:ascii="Segoe UI"/>
          <w:color w:val="202020"/>
          <w:spacing w:val="48"/>
          <w:sz w:val="18"/>
        </w:rPr>
        <w:t xml:space="preserve"> </w:t>
      </w:r>
      <w:r>
        <w:rPr>
          <w:rFonts w:ascii="Segoe UI"/>
          <w:color w:val="202020"/>
          <w:sz w:val="18"/>
        </w:rPr>
        <w:t>established</w:t>
      </w:r>
      <w:r>
        <w:rPr>
          <w:rFonts w:ascii="Segoe UI"/>
          <w:color w:val="202020"/>
          <w:spacing w:val="45"/>
          <w:sz w:val="18"/>
        </w:rPr>
        <w:t xml:space="preserve"> </w:t>
      </w:r>
      <w:r>
        <w:rPr>
          <w:rFonts w:ascii="Segoe UI"/>
          <w:color w:val="202020"/>
          <w:sz w:val="18"/>
        </w:rPr>
        <w:t>and</w:t>
      </w:r>
      <w:r>
        <w:rPr>
          <w:rFonts w:ascii="Segoe UI"/>
          <w:color w:val="202020"/>
          <w:spacing w:val="-4"/>
          <w:sz w:val="18"/>
        </w:rPr>
        <w:t xml:space="preserve"> </w:t>
      </w:r>
      <w:proofErr w:type="spellStart"/>
      <w:r>
        <w:rPr>
          <w:rFonts w:ascii="Segoe UI"/>
          <w:color w:val="202020"/>
          <w:sz w:val="18"/>
        </w:rPr>
        <w:t>distribuated</w:t>
      </w:r>
      <w:proofErr w:type="spellEnd"/>
      <w:r>
        <w:rPr>
          <w:rFonts w:ascii="Segoe UI"/>
          <w:color w:val="202020"/>
          <w:spacing w:val="-3"/>
          <w:sz w:val="18"/>
        </w:rPr>
        <w:t xml:space="preserve"> </w:t>
      </w:r>
      <w:r>
        <w:rPr>
          <w:rFonts w:ascii="Segoe UI"/>
          <w:color w:val="202020"/>
          <w:sz w:val="18"/>
        </w:rPr>
        <w:t>in</w:t>
      </w:r>
    </w:p>
    <w:p w:rsidR="00392811" w:rsidRDefault="00A67A08">
      <w:pPr>
        <w:pStyle w:val="BodyText"/>
        <w:spacing w:before="2"/>
        <w:ind w:left="108"/>
        <w:jc w:val="both"/>
        <w:rPr>
          <w:rFonts w:ascii="Segoe UI"/>
        </w:rPr>
      </w:pPr>
      <w:proofErr w:type="gramStart"/>
      <w:r>
        <w:rPr>
          <w:rFonts w:ascii="Segoe UI"/>
          <w:color w:val="202020"/>
        </w:rPr>
        <w:t>each</w:t>
      </w:r>
      <w:proofErr w:type="gramEnd"/>
      <w:r>
        <w:rPr>
          <w:rFonts w:ascii="Segoe UI"/>
          <w:color w:val="202020"/>
          <w:spacing w:val="-1"/>
        </w:rPr>
        <w:t xml:space="preserve"> </w:t>
      </w:r>
      <w:r>
        <w:rPr>
          <w:rFonts w:ascii="Segoe UI"/>
          <w:color w:val="202020"/>
        </w:rPr>
        <w:t>unit</w:t>
      </w:r>
      <w:r>
        <w:rPr>
          <w:rFonts w:ascii="Segoe UI"/>
          <w:color w:val="202020"/>
          <w:spacing w:val="-2"/>
        </w:rPr>
        <w:t xml:space="preserve"> </w:t>
      </w:r>
      <w:r>
        <w:rPr>
          <w:rFonts w:ascii="Segoe UI"/>
          <w:color w:val="202020"/>
        </w:rPr>
        <w:t>of</w:t>
      </w:r>
      <w:r>
        <w:rPr>
          <w:rFonts w:ascii="Segoe UI"/>
          <w:color w:val="202020"/>
          <w:spacing w:val="-1"/>
        </w:rPr>
        <w:t xml:space="preserve"> </w:t>
      </w:r>
      <w:r>
        <w:rPr>
          <w:rFonts w:ascii="Segoe UI"/>
          <w:color w:val="202020"/>
        </w:rPr>
        <w:t>the</w:t>
      </w:r>
      <w:r>
        <w:rPr>
          <w:rFonts w:ascii="Segoe UI"/>
          <w:color w:val="202020"/>
          <w:spacing w:val="-2"/>
        </w:rPr>
        <w:t xml:space="preserve"> </w:t>
      </w:r>
      <w:r>
        <w:rPr>
          <w:rFonts w:ascii="Segoe UI"/>
          <w:color w:val="202020"/>
        </w:rPr>
        <w:t>center.</w:t>
      </w:r>
    </w:p>
    <w:p w:rsidR="00392811" w:rsidRDefault="00A67A08">
      <w:pPr>
        <w:pStyle w:val="BodyText"/>
        <w:spacing w:before="121" w:line="357" w:lineRule="auto"/>
        <w:ind w:left="108" w:right="93"/>
        <w:jc w:val="both"/>
        <w:rPr>
          <w:rFonts w:ascii="Segoe UI"/>
        </w:rPr>
      </w:pPr>
      <w:r>
        <w:rPr>
          <w:rFonts w:ascii="Segoe UI"/>
          <w:color w:val="202020"/>
        </w:rPr>
        <w:t>The identification and prevention of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drug-drug interactions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represent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pivotal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steps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to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improve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drug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therapy</w:t>
      </w:r>
      <w:proofErr w:type="gramStart"/>
      <w:r>
        <w:rPr>
          <w:rFonts w:ascii="Segoe UI"/>
          <w:color w:val="202020"/>
        </w:rPr>
        <w:t>,,</w:t>
      </w:r>
      <w:proofErr w:type="gramEnd"/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and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to</w:t>
      </w:r>
      <w:r>
        <w:rPr>
          <w:rFonts w:ascii="Segoe UI"/>
          <w:color w:val="202020"/>
          <w:spacing w:val="1"/>
        </w:rPr>
        <w:t xml:space="preserve"> </w:t>
      </w:r>
      <w:r>
        <w:rPr>
          <w:rFonts w:ascii="Segoe UI"/>
          <w:color w:val="202020"/>
        </w:rPr>
        <w:t>increase</w:t>
      </w:r>
      <w:r>
        <w:rPr>
          <w:rFonts w:ascii="Segoe UI"/>
          <w:color w:val="202020"/>
          <w:spacing w:val="-1"/>
        </w:rPr>
        <w:t xml:space="preserve"> </w:t>
      </w:r>
      <w:r>
        <w:rPr>
          <w:rFonts w:ascii="Segoe UI"/>
          <w:color w:val="202020"/>
        </w:rPr>
        <w:t>the</w:t>
      </w:r>
      <w:r>
        <w:rPr>
          <w:rFonts w:ascii="Segoe UI"/>
          <w:color w:val="202020"/>
          <w:spacing w:val="-1"/>
        </w:rPr>
        <w:t xml:space="preserve"> </w:t>
      </w:r>
      <w:r>
        <w:rPr>
          <w:rFonts w:ascii="Segoe UI"/>
          <w:color w:val="202020"/>
        </w:rPr>
        <w:t>patients'</w:t>
      </w:r>
      <w:r>
        <w:rPr>
          <w:rFonts w:ascii="Segoe UI"/>
          <w:color w:val="202020"/>
          <w:spacing w:val="-1"/>
        </w:rPr>
        <w:t xml:space="preserve"> </w:t>
      </w:r>
      <w:r>
        <w:rPr>
          <w:rFonts w:ascii="Segoe UI"/>
          <w:color w:val="202020"/>
        </w:rPr>
        <w:t>quality</w:t>
      </w:r>
      <w:r>
        <w:rPr>
          <w:rFonts w:ascii="Segoe UI"/>
          <w:color w:val="202020"/>
          <w:spacing w:val="-4"/>
        </w:rPr>
        <w:t xml:space="preserve"> </w:t>
      </w:r>
      <w:r>
        <w:rPr>
          <w:rFonts w:ascii="Segoe UI"/>
          <w:color w:val="202020"/>
        </w:rPr>
        <w:t>of</w:t>
      </w:r>
      <w:r>
        <w:rPr>
          <w:rFonts w:ascii="Segoe UI"/>
          <w:color w:val="202020"/>
          <w:spacing w:val="-1"/>
        </w:rPr>
        <w:t xml:space="preserve"> </w:t>
      </w:r>
      <w:r>
        <w:rPr>
          <w:rFonts w:ascii="Segoe UI"/>
          <w:color w:val="202020"/>
        </w:rPr>
        <w:t>life.</w:t>
      </w:r>
    </w:p>
    <w:p w:rsidR="00392811" w:rsidRDefault="00392811">
      <w:pPr>
        <w:pStyle w:val="BodyText"/>
        <w:rPr>
          <w:rFonts w:ascii="Segoe UI"/>
          <w:sz w:val="24"/>
        </w:rPr>
      </w:pPr>
    </w:p>
    <w:p w:rsidR="00392811" w:rsidRDefault="00392811">
      <w:pPr>
        <w:pStyle w:val="BodyText"/>
        <w:rPr>
          <w:rFonts w:ascii="Segoe UI"/>
          <w:sz w:val="24"/>
        </w:rPr>
      </w:pPr>
    </w:p>
    <w:p w:rsidR="00392811" w:rsidRDefault="00392811">
      <w:pPr>
        <w:pStyle w:val="BodyText"/>
        <w:rPr>
          <w:rFonts w:ascii="Segoe UI"/>
          <w:sz w:val="24"/>
        </w:rPr>
      </w:pPr>
    </w:p>
    <w:p w:rsidR="00392811" w:rsidRDefault="00392811">
      <w:pPr>
        <w:pStyle w:val="BodyText"/>
        <w:rPr>
          <w:rFonts w:ascii="Segoe UI"/>
          <w:sz w:val="24"/>
        </w:rPr>
      </w:pPr>
    </w:p>
    <w:p w:rsidR="00392811" w:rsidRDefault="00392811">
      <w:pPr>
        <w:pStyle w:val="BodyText"/>
        <w:rPr>
          <w:rFonts w:ascii="Segoe UI"/>
          <w:sz w:val="24"/>
        </w:rPr>
      </w:pPr>
    </w:p>
    <w:p w:rsidR="00392811" w:rsidRDefault="00392811">
      <w:pPr>
        <w:pStyle w:val="BodyText"/>
        <w:rPr>
          <w:rFonts w:ascii="Segoe UI"/>
          <w:sz w:val="24"/>
        </w:rPr>
      </w:pPr>
    </w:p>
    <w:p w:rsidR="00392811" w:rsidRDefault="00392811">
      <w:pPr>
        <w:pStyle w:val="BodyText"/>
        <w:spacing w:before="2"/>
        <w:rPr>
          <w:rFonts w:ascii="Segoe UI"/>
          <w:sz w:val="17"/>
        </w:rPr>
      </w:pPr>
    </w:p>
    <w:p w:rsidR="00392811" w:rsidRDefault="00A67A08">
      <w:pPr>
        <w:pStyle w:val="Heading2"/>
      </w:pPr>
      <w:r>
        <w:pict>
          <v:line id="_x0000_s1094" style="position:absolute;left:0;text-align:left;z-index:15729152;mso-position-horizontal-relative:page" from="126.3pt,-.65pt" to="491pt,.25pt" strokecolor="#538dd3" strokeweight="3pt">
            <w10:wrap anchorx="page"/>
          </v:line>
        </w:pict>
      </w:r>
      <w:proofErr w:type="gramStart"/>
      <w:r>
        <w:rPr>
          <w:color w:val="974705"/>
        </w:rPr>
        <w:t>Biography</w:t>
      </w:r>
      <w:r>
        <w:rPr>
          <w:color w:val="974705"/>
          <w:spacing w:val="-1"/>
        </w:rPr>
        <w:t xml:space="preserve"> </w:t>
      </w:r>
      <w:r>
        <w:rPr>
          <w:color w:val="974705"/>
        </w:rPr>
        <w:t>:</w:t>
      </w:r>
      <w:proofErr w:type="gramEnd"/>
    </w:p>
    <w:p w:rsidR="00392811" w:rsidRDefault="00A67A08">
      <w:pPr>
        <w:spacing w:before="119" w:line="360" w:lineRule="auto"/>
        <w:ind w:left="166" w:right="38"/>
        <w:jc w:val="both"/>
        <w:rPr>
          <w:rFonts w:ascii="Arial MT"/>
          <w:sz w:val="14"/>
        </w:rPr>
      </w:pPr>
      <w:proofErr w:type="spellStart"/>
      <w:r>
        <w:rPr>
          <w:rFonts w:ascii="Arial MT"/>
          <w:sz w:val="14"/>
        </w:rPr>
        <w:t>Nesrine</w:t>
      </w:r>
      <w:proofErr w:type="spellEnd"/>
      <w:r>
        <w:rPr>
          <w:rFonts w:ascii="Arial MT"/>
          <w:sz w:val="14"/>
        </w:rPr>
        <w:t xml:space="preserve"> </w:t>
      </w:r>
      <w:proofErr w:type="spellStart"/>
      <w:r>
        <w:rPr>
          <w:rFonts w:ascii="Arial MT"/>
          <w:sz w:val="14"/>
        </w:rPr>
        <w:t>Hagui</w:t>
      </w:r>
      <w:proofErr w:type="spellEnd"/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hospital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pharmacist .She has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performed manage the unit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of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 xml:space="preserve">pharmacy </w:t>
      </w:r>
      <w:proofErr w:type="spellStart"/>
      <w:r>
        <w:rPr>
          <w:rFonts w:ascii="Arial MT"/>
          <w:sz w:val="14"/>
        </w:rPr>
        <w:t>forb</w:t>
      </w:r>
      <w:proofErr w:type="spellEnd"/>
      <w:r>
        <w:rPr>
          <w:rFonts w:ascii="Arial MT"/>
          <w:sz w:val="14"/>
        </w:rPr>
        <w:t xml:space="preserve"> over 9 </w:t>
      </w:r>
      <w:proofErr w:type="spellStart"/>
      <w:r>
        <w:rPr>
          <w:rFonts w:ascii="Arial MT"/>
          <w:sz w:val="14"/>
        </w:rPr>
        <w:t>years.She</w:t>
      </w:r>
      <w:proofErr w:type="spellEnd"/>
      <w:r>
        <w:rPr>
          <w:rFonts w:ascii="Arial MT"/>
          <w:sz w:val="14"/>
        </w:rPr>
        <w:t xml:space="preserve"> values integrity and passion as aspects that will</w:t>
      </w:r>
      <w:r>
        <w:rPr>
          <w:rFonts w:ascii="Arial MT"/>
          <w:spacing w:val="-36"/>
          <w:sz w:val="14"/>
        </w:rPr>
        <w:t xml:space="preserve"> </w:t>
      </w:r>
      <w:r>
        <w:rPr>
          <w:rFonts w:ascii="Arial MT"/>
          <w:sz w:val="14"/>
        </w:rPr>
        <w:t>build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better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cooperation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with</w:t>
      </w:r>
      <w:r>
        <w:rPr>
          <w:rFonts w:ascii="Arial MT"/>
          <w:spacing w:val="1"/>
          <w:sz w:val="14"/>
        </w:rPr>
        <w:t xml:space="preserve"> </w:t>
      </w:r>
      <w:proofErr w:type="spellStart"/>
      <w:r>
        <w:rPr>
          <w:rFonts w:ascii="Arial MT"/>
          <w:sz w:val="14"/>
        </w:rPr>
        <w:t>doctors.inorderb</w:t>
      </w:r>
      <w:proofErr w:type="spellEnd"/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to.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Create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new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pathways</w:t>
      </w:r>
      <w:r>
        <w:rPr>
          <w:rFonts w:ascii="Arial MT"/>
          <w:spacing w:val="1"/>
          <w:sz w:val="14"/>
        </w:rPr>
        <w:t xml:space="preserve"> </w:t>
      </w:r>
      <w:proofErr w:type="spellStart"/>
      <w:proofErr w:type="gramStart"/>
      <w:r>
        <w:rPr>
          <w:rFonts w:ascii="Arial MT"/>
          <w:sz w:val="14"/>
        </w:rPr>
        <w:t>fo</w:t>
      </w:r>
      <w:proofErr w:type="spellEnd"/>
      <w:proofErr w:type="gramEnd"/>
      <w:r>
        <w:rPr>
          <w:rFonts w:ascii="Arial MT"/>
          <w:spacing w:val="1"/>
          <w:sz w:val="14"/>
        </w:rPr>
        <w:t xml:space="preserve"> </w:t>
      </w:r>
      <w:proofErr w:type="spellStart"/>
      <w:r>
        <w:rPr>
          <w:rFonts w:ascii="Arial MT"/>
          <w:sz w:val="14"/>
        </w:rPr>
        <w:t>rimproving</w:t>
      </w:r>
      <w:proofErr w:type="spellEnd"/>
      <w:r>
        <w:rPr>
          <w:rFonts w:ascii="Arial MT"/>
          <w:sz w:val="14"/>
        </w:rPr>
        <w:t xml:space="preserve"> healthcare and wellbeing. She has built this model </w:t>
      </w:r>
      <w:proofErr w:type="spellStart"/>
      <w:r>
        <w:rPr>
          <w:rFonts w:ascii="Arial MT"/>
          <w:sz w:val="14"/>
        </w:rPr>
        <w:t>afeter</w:t>
      </w:r>
      <w:proofErr w:type="spellEnd"/>
      <w:r>
        <w:rPr>
          <w:rFonts w:ascii="Arial MT"/>
          <w:sz w:val="14"/>
        </w:rPr>
        <w:t xml:space="preserve"> performing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 xml:space="preserve">in clinical pharmacy as a correspondent of </w:t>
      </w:r>
      <w:proofErr w:type="spellStart"/>
      <w:r>
        <w:rPr>
          <w:rFonts w:ascii="Arial MT"/>
          <w:sz w:val="14"/>
        </w:rPr>
        <w:t>pharmacovigilance</w:t>
      </w:r>
      <w:proofErr w:type="spellEnd"/>
      <w:r>
        <w:rPr>
          <w:rFonts w:ascii="Arial MT"/>
          <w:sz w:val="14"/>
        </w:rPr>
        <w:t xml:space="preserve"> in the center of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injuries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and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burnt.</w:t>
      </w:r>
    </w:p>
    <w:p w:rsidR="00392811" w:rsidRDefault="00A67A08">
      <w:pPr>
        <w:spacing w:line="364" w:lineRule="auto"/>
        <w:ind w:left="166" w:right="3005"/>
        <w:jc w:val="both"/>
        <w:rPr>
          <w:rFonts w:ascii="Arial MT"/>
          <w:sz w:val="14"/>
        </w:rPr>
      </w:pPr>
      <w:hyperlink r:id="rId6">
        <w:r>
          <w:rPr>
            <w:rFonts w:ascii="Arial MT"/>
            <w:color w:val="0000FF"/>
            <w:sz w:val="14"/>
            <w:u w:val="single" w:color="0000FF"/>
          </w:rPr>
          <w:t>Emai : haguinesrine@ymail.</w:t>
        </w:r>
        <w:r>
          <w:rPr>
            <w:rFonts w:ascii="Arial MT"/>
            <w:color w:val="0000FF"/>
            <w:sz w:val="14"/>
            <w:u w:val="single" w:color="0000FF"/>
          </w:rPr>
          <w:t>com</w:t>
        </w:r>
      </w:hyperlink>
      <w:r>
        <w:rPr>
          <w:rFonts w:ascii="Arial MT"/>
          <w:color w:val="0000FF"/>
          <w:spacing w:val="-37"/>
          <w:sz w:val="14"/>
        </w:rPr>
        <w:t xml:space="preserve"> </w:t>
      </w:r>
      <w:r>
        <w:rPr>
          <w:rFonts w:ascii="Arial MT"/>
          <w:sz w:val="14"/>
        </w:rPr>
        <w:t>NESRINE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HAGUI</w:t>
      </w:r>
    </w:p>
    <w:p w:rsidR="00392811" w:rsidRDefault="00A67A08">
      <w:pPr>
        <w:spacing w:line="156" w:lineRule="exact"/>
        <w:ind w:left="166"/>
        <w:rPr>
          <w:rFonts w:ascii="Arial MT"/>
          <w:sz w:val="14"/>
        </w:rPr>
      </w:pPr>
      <w:r>
        <w:rPr>
          <w:rFonts w:ascii="Arial MT"/>
          <w:sz w:val="14"/>
        </w:rPr>
        <w:t>+21696575582</w:t>
      </w:r>
    </w:p>
    <w:p w:rsidR="00392811" w:rsidRDefault="00A67A08">
      <w:pPr>
        <w:spacing w:before="81" w:line="357" w:lineRule="auto"/>
        <w:ind w:left="166" w:right="3078"/>
        <w:rPr>
          <w:rFonts w:ascii="Arial MT"/>
          <w:sz w:val="14"/>
        </w:rPr>
      </w:pPr>
      <w:hyperlink r:id="rId7">
        <w:r>
          <w:rPr>
            <w:rFonts w:ascii="Arial MT"/>
            <w:color w:val="0000FF"/>
            <w:spacing w:val="-1"/>
            <w:sz w:val="14"/>
            <w:u w:val="single" w:color="0000FF"/>
          </w:rPr>
          <w:t>haguinesrine@ymail.com</w:t>
        </w:r>
      </w:hyperlink>
      <w:r>
        <w:rPr>
          <w:rFonts w:ascii="Arial MT"/>
          <w:color w:val="0000FF"/>
          <w:spacing w:val="-36"/>
          <w:sz w:val="14"/>
        </w:rPr>
        <w:t xml:space="preserve"> </w:t>
      </w:r>
      <w:r>
        <w:rPr>
          <w:rFonts w:ascii="Arial MT"/>
          <w:sz w:val="14"/>
        </w:rPr>
        <w:t>Poster presentation</w:t>
      </w:r>
    </w:p>
    <w:p w:rsidR="00392811" w:rsidRDefault="00A67A08" w:rsidP="00A67A08">
      <w:pPr>
        <w:pStyle w:val="Heading1"/>
        <w:ind w:left="0"/>
      </w:pPr>
      <w:r>
        <w:rPr>
          <w:b w:val="0"/>
        </w:rPr>
        <w:br w:type="column"/>
      </w:r>
      <w:bookmarkStart w:id="2" w:name="and_prevention"/>
      <w:bookmarkEnd w:id="2"/>
      <w:proofErr w:type="gramStart"/>
      <w:r>
        <w:rPr>
          <w:color w:val="538DD3"/>
          <w:w w:val="90"/>
        </w:rPr>
        <w:lastRenderedPageBreak/>
        <w:t>a</w:t>
      </w:r>
      <w:r>
        <w:rPr>
          <w:color w:val="538DD3"/>
          <w:w w:val="90"/>
        </w:rPr>
        <w:t>nd</w:t>
      </w:r>
      <w:proofErr w:type="gramEnd"/>
      <w:r>
        <w:rPr>
          <w:color w:val="538DD3"/>
          <w:spacing w:val="25"/>
          <w:w w:val="90"/>
        </w:rPr>
        <w:t xml:space="preserve"> </w:t>
      </w:r>
      <w:r>
        <w:rPr>
          <w:color w:val="538DD3"/>
          <w:w w:val="90"/>
        </w:rPr>
        <w:t>prevention</w:t>
      </w:r>
    </w:p>
    <w:p w:rsidR="00392811" w:rsidRDefault="00392811">
      <w:pPr>
        <w:pStyle w:val="BodyText"/>
        <w:rPr>
          <w:rFonts w:ascii="Cambria"/>
          <w:b/>
          <w:sz w:val="36"/>
        </w:rPr>
      </w:pPr>
      <w:bookmarkStart w:id="3" w:name="_GoBack"/>
      <w:bookmarkEnd w:id="3"/>
    </w:p>
    <w:p w:rsidR="00392811" w:rsidRDefault="00392811">
      <w:pPr>
        <w:pStyle w:val="BodyText"/>
        <w:spacing w:before="3"/>
        <w:rPr>
          <w:rFonts w:ascii="Cambria"/>
          <w:b/>
          <w:sz w:val="39"/>
        </w:rPr>
      </w:pPr>
    </w:p>
    <w:p w:rsidR="00392811" w:rsidRDefault="00A67A08">
      <w:pPr>
        <w:ind w:left="471"/>
        <w:rPr>
          <w:rFonts w:ascii="Cambria"/>
          <w:b/>
        </w:rPr>
      </w:pPr>
      <w:bookmarkStart w:id="4" w:name="Drug__interactions_:Identification"/>
      <w:bookmarkEnd w:id="4"/>
      <w:r>
        <w:pict>
          <v:group id="_x0000_s1091" style="position:absolute;left:0;text-align:left;margin-left:297.6pt;margin-top:14.7pt;width:290.6pt;height:255.25pt;z-index:15728640;mso-position-horizontal-relative:page" coordorigin="5952,294" coordsize="5812,510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3" type="#_x0000_t75" style="position:absolute;left:5952;top:294;width:5812;height:5105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92" type="#_x0000_t202" style="position:absolute;left:5952;top:294;width:5812;height:5105" filled="f" stroked="f">
              <v:textbox inset="0,0,0,0">
                <w:txbxContent>
                  <w:p w:rsidR="00392811" w:rsidRDefault="00392811">
                    <w:pPr>
                      <w:rPr>
                        <w:sz w:val="4"/>
                      </w:rPr>
                    </w:pPr>
                  </w:p>
                  <w:p w:rsidR="00392811" w:rsidRDefault="00392811">
                    <w:pPr>
                      <w:rPr>
                        <w:sz w:val="4"/>
                      </w:rPr>
                    </w:pPr>
                  </w:p>
                  <w:p w:rsidR="00392811" w:rsidRDefault="00392811">
                    <w:pPr>
                      <w:rPr>
                        <w:sz w:val="4"/>
                      </w:rPr>
                    </w:pPr>
                  </w:p>
                  <w:p w:rsidR="00392811" w:rsidRDefault="00392811">
                    <w:pPr>
                      <w:rPr>
                        <w:sz w:val="4"/>
                      </w:rPr>
                    </w:pPr>
                  </w:p>
                  <w:p w:rsidR="00392811" w:rsidRDefault="00392811">
                    <w:pPr>
                      <w:rPr>
                        <w:sz w:val="4"/>
                      </w:rPr>
                    </w:pPr>
                  </w:p>
                  <w:p w:rsidR="00392811" w:rsidRDefault="00392811">
                    <w:pPr>
                      <w:rPr>
                        <w:sz w:val="4"/>
                      </w:rPr>
                    </w:pPr>
                  </w:p>
                  <w:p w:rsidR="00392811" w:rsidRDefault="00392811">
                    <w:pPr>
                      <w:rPr>
                        <w:sz w:val="4"/>
                      </w:rPr>
                    </w:pPr>
                  </w:p>
                  <w:p w:rsidR="00392811" w:rsidRDefault="00392811">
                    <w:pPr>
                      <w:rPr>
                        <w:sz w:val="4"/>
                      </w:rPr>
                    </w:pPr>
                  </w:p>
                  <w:p w:rsidR="00392811" w:rsidRDefault="00392811">
                    <w:pPr>
                      <w:rPr>
                        <w:sz w:val="4"/>
                      </w:rPr>
                    </w:pPr>
                  </w:p>
                  <w:p w:rsidR="00392811" w:rsidRDefault="00392811">
                    <w:pPr>
                      <w:rPr>
                        <w:sz w:val="4"/>
                      </w:rPr>
                    </w:pPr>
                  </w:p>
                  <w:p w:rsidR="00392811" w:rsidRDefault="00392811">
                    <w:pPr>
                      <w:spacing w:before="5"/>
                      <w:rPr>
                        <w:sz w:val="3"/>
                      </w:rPr>
                    </w:pPr>
                  </w:p>
                  <w:p w:rsidR="00392811" w:rsidRDefault="00A67A08">
                    <w:pPr>
                      <w:ind w:left="-5"/>
                      <w:rPr>
                        <w:b/>
                        <w:sz w:val="4"/>
                      </w:rPr>
                    </w:pP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ACICLOVIR</w:t>
                    </w:r>
                  </w:p>
                  <w:p w:rsidR="00392811" w:rsidRDefault="00A67A08">
                    <w:pPr>
                      <w:spacing w:before="23" w:line="352" w:lineRule="auto"/>
                      <w:ind w:left="-5" w:right="5534"/>
                      <w:rPr>
                        <w:b/>
                        <w:sz w:val="4"/>
                      </w:rPr>
                    </w:pPr>
                    <w:r>
                      <w:rPr>
                        <w:b/>
                        <w:color w:val="040404"/>
                        <w:spacing w:val="-2"/>
                        <w:w w:val="85"/>
                        <w:sz w:val="4"/>
                      </w:rPr>
                      <w:t>ACIDE</w:t>
                    </w:r>
                    <w:r>
                      <w:rPr>
                        <w:b/>
                        <w:color w:val="040404"/>
                        <w:spacing w:val="-1"/>
                        <w:w w:val="8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spacing w:val="-2"/>
                        <w:w w:val="85"/>
                        <w:sz w:val="4"/>
                      </w:rPr>
                      <w:t>VALPROIQUE</w:t>
                    </w:r>
                    <w:r>
                      <w:rPr>
                        <w:b/>
                        <w:color w:val="040404"/>
                        <w:spacing w:val="-1"/>
                        <w:w w:val="8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ALTEPLASE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AMIKACINE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MIODARONE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spacing w:val="-1"/>
                        <w:w w:val="95"/>
                        <w:sz w:val="4"/>
                      </w:rPr>
                      <w:t>AZITHROMYCINE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 xml:space="preserve"> BACLOFENE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BACTRIM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BUDESONIDE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CANCIDAS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CATAPRESSAN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CERNEVIT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0"/>
                        <w:sz w:val="4"/>
                      </w:rPr>
                      <w:t>CIPROFLOXACINE</w:t>
                    </w:r>
                    <w:r>
                      <w:rPr>
                        <w:b/>
                        <w:color w:val="040404"/>
                        <w:spacing w:val="1"/>
                        <w:w w:val="90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CLINDAMYCINE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85"/>
                        <w:sz w:val="4"/>
                      </w:rPr>
                      <w:t>COLI GENTA</w:t>
                    </w:r>
                    <w:r>
                      <w:rPr>
                        <w:b/>
                        <w:color w:val="040404"/>
                        <w:spacing w:val="1"/>
                        <w:w w:val="8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COLIMYCINE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spacing w:val="-1"/>
                        <w:w w:val="90"/>
                        <w:sz w:val="4"/>
                      </w:rPr>
                      <w:t>DEXAMETHASONE</w:t>
                    </w:r>
                    <w:r>
                      <w:rPr>
                        <w:b/>
                        <w:color w:val="040404"/>
                        <w:w w:val="90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DIAZEPAM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ENOXAPARINE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ERTAPENEM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FENTANYL</w:t>
                    </w:r>
                  </w:p>
                  <w:p w:rsidR="00392811" w:rsidRDefault="00A67A08">
                    <w:pPr>
                      <w:spacing w:line="352" w:lineRule="auto"/>
                      <w:ind w:left="-5" w:right="5456"/>
                      <w:rPr>
                        <w:b/>
                        <w:sz w:val="4"/>
                      </w:rPr>
                    </w:pPr>
                    <w:r>
                      <w:rPr>
                        <w:b/>
                        <w:color w:val="040404"/>
                        <w:spacing w:val="-2"/>
                        <w:w w:val="85"/>
                        <w:sz w:val="4"/>
                      </w:rPr>
                      <w:t>FERREUX</w:t>
                    </w:r>
                    <w:r>
                      <w:rPr>
                        <w:b/>
                        <w:color w:val="040404"/>
                        <w:spacing w:val="-1"/>
                        <w:w w:val="8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spacing w:val="-2"/>
                        <w:w w:val="85"/>
                        <w:sz w:val="4"/>
                      </w:rPr>
                      <w:t>FUMARATE</w:t>
                    </w:r>
                    <w:r>
                      <w:rPr>
                        <w:b/>
                        <w:color w:val="040404"/>
                        <w:spacing w:val="-1"/>
                        <w:w w:val="8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FLUCONAZOLE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FUROSEMIDE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ENTAMICINE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HALOPERIDOL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MIPENEM</w:t>
                    </w:r>
                  </w:p>
                  <w:p w:rsidR="00392811" w:rsidRDefault="00A67A08">
                    <w:pPr>
                      <w:spacing w:line="352" w:lineRule="auto"/>
                      <w:ind w:left="-5" w:right="5456" w:firstLine="9"/>
                      <w:rPr>
                        <w:b/>
                        <w:sz w:val="4"/>
                      </w:rPr>
                    </w:pPr>
                    <w:r>
                      <w:rPr>
                        <w:b/>
                        <w:color w:val="040404"/>
                        <w:spacing w:val="-1"/>
                        <w:w w:val="80"/>
                        <w:sz w:val="4"/>
                      </w:rPr>
                      <w:t>PRATROPIUM</w:t>
                    </w:r>
                    <w:r>
                      <w:rPr>
                        <w:b/>
                        <w:color w:val="040404"/>
                        <w:w w:val="80"/>
                        <w:sz w:val="4"/>
                      </w:rPr>
                      <w:t xml:space="preserve"> BROMURE</w:t>
                    </w:r>
                    <w:r>
                      <w:rPr>
                        <w:b/>
                        <w:color w:val="040404"/>
                        <w:spacing w:val="1"/>
                        <w:w w:val="80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KETAMINE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KETOPROFENE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LARGACTIL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LEVOFLOXACINE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LEVOTHYROXINE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MEROPENEM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METFORMINE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spacing w:val="-1"/>
                        <w:w w:val="90"/>
                        <w:sz w:val="4"/>
                      </w:rPr>
                      <w:t>METHYLPREDNISOLONE</w:t>
                    </w:r>
                    <w:r>
                      <w:rPr>
                        <w:b/>
                        <w:color w:val="040404"/>
                        <w:w w:val="90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METRONIDAZOLE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MIDAZOLAM</w:t>
                    </w:r>
                  </w:p>
                  <w:p w:rsidR="00392811" w:rsidRDefault="00A67A08">
                    <w:pPr>
                      <w:spacing w:line="352" w:lineRule="auto"/>
                      <w:ind w:left="-5" w:right="5541"/>
                      <w:rPr>
                        <w:b/>
                        <w:sz w:val="4"/>
                      </w:rPr>
                    </w:pP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MORPHINE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4"/>
                      </w:rPr>
                      <w:t>EFOPAM</w:t>
                    </w:r>
                    <w:r>
                      <w:rPr>
                        <w:b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NICARDIPINE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NIMBEX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85"/>
                        <w:sz w:val="4"/>
                      </w:rPr>
                      <w:t>NORADRENALINE</w:t>
                    </w:r>
                    <w:r>
                      <w:rPr>
                        <w:b/>
                        <w:color w:val="040404"/>
                        <w:spacing w:val="1"/>
                        <w:w w:val="8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OZINAN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OFLOXACINE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OMEPRAZOLE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PHENYTOINE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PIROXICAM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PROPOFOL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REMIFENTANIL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85"/>
                        <w:sz w:val="4"/>
                      </w:rPr>
                      <w:t>RINGER LACT</w:t>
                    </w:r>
                    <w:r>
                      <w:rPr>
                        <w:b/>
                        <w:color w:val="040404"/>
                        <w:spacing w:val="1"/>
                        <w:w w:val="8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RIVAROXABAN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RIVOTRIL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STEROGYL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S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UFENTANIL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spacing w:val="-1"/>
                        <w:w w:val="85"/>
                        <w:sz w:val="4"/>
                      </w:rPr>
                      <w:t>SUXAMETHONIUM</w:t>
                    </w:r>
                    <w:r>
                      <w:rPr>
                        <w:b/>
                        <w:color w:val="040404"/>
                        <w:w w:val="8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TAVER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TAZOCILLINE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TEICOPLANINE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TIGECYCLINE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VANCOMYCINE</w:t>
                    </w:r>
                    <w:r>
                      <w:rPr>
                        <w:b/>
                        <w:color w:val="040404"/>
                        <w:spacing w:val="1"/>
                        <w:w w:val="95"/>
                        <w:sz w:val="4"/>
                      </w:rPr>
                      <w:t xml:space="preserve"> </w:t>
                    </w:r>
                    <w:r>
                      <w:rPr>
                        <w:b/>
                        <w:color w:val="040404"/>
                        <w:spacing w:val="-1"/>
                        <w:w w:val="95"/>
                        <w:sz w:val="4"/>
                      </w:rPr>
                      <w:t>VORICONAZOLE</w:t>
                    </w: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 xml:space="preserve"> ZOLOFT</w:t>
                    </w:r>
                  </w:p>
                  <w:p w:rsidR="00392811" w:rsidRDefault="00A67A08">
                    <w:pPr>
                      <w:spacing w:line="46" w:lineRule="exact"/>
                      <w:ind w:left="-5"/>
                      <w:rPr>
                        <w:b/>
                        <w:sz w:val="4"/>
                      </w:rPr>
                    </w:pPr>
                    <w:r>
                      <w:rPr>
                        <w:b/>
                        <w:color w:val="040404"/>
                        <w:w w:val="95"/>
                        <w:sz w:val="4"/>
                      </w:rPr>
                      <w:t>ZYVOXID</w:t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_x0000_s1090" type="#_x0000_t202" style="position:absolute;left:0;text-align:left;margin-left:323.15pt;margin-top:21.5pt;width:3.7pt;height:12.6pt;z-index:15729664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ACICLOVIR</w:t>
                  </w:r>
                </w:p>
              </w:txbxContent>
            </v:textbox>
            <w10:wrap anchorx="page"/>
          </v:shape>
        </w:pict>
      </w:r>
      <w:r>
        <w:pict>
          <v:shape id="_x0000_s1089" type="#_x0000_t202" style="position:absolute;left:0;text-align:left;margin-left:327.3pt;margin-top:17.05pt;width:3.7pt;height:21.55pt;z-index:15730176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spacing w:val="-1"/>
                      <w:w w:val="160"/>
                      <w:sz w:val="3"/>
                    </w:rPr>
                    <w:t>ACIDE</w:t>
                  </w:r>
                  <w:r>
                    <w:rPr>
                      <w:b/>
                      <w:color w:val="040404"/>
                      <w:spacing w:val="2"/>
                      <w:w w:val="160"/>
                      <w:sz w:val="3"/>
                    </w:rPr>
                    <w:t xml:space="preserve"> </w:t>
                  </w:r>
                  <w:r>
                    <w:rPr>
                      <w:b/>
                      <w:color w:val="040404"/>
                      <w:spacing w:val="-1"/>
                      <w:w w:val="160"/>
                      <w:sz w:val="3"/>
                    </w:rPr>
                    <w:t>VALPROIQUE</w:t>
                  </w:r>
                </w:p>
              </w:txbxContent>
            </v:textbox>
            <w10:wrap anchorx="page"/>
          </v:shape>
        </w:pict>
      </w:r>
      <w:r>
        <w:pict>
          <v:shape id="_x0000_s1088" type="#_x0000_t202" style="position:absolute;left:0;text-align:left;margin-left:331.45pt;margin-top:21.4pt;width:3.7pt;height:12.8pt;z-index:15730688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ALTEPLASE</w:t>
                  </w:r>
                </w:p>
              </w:txbxContent>
            </v:textbox>
            <w10:wrap anchorx="page"/>
          </v:shape>
        </w:pict>
      </w:r>
      <w:r>
        <w:pict>
          <v:shape id="_x0000_s1087" type="#_x0000_t202" style="position:absolute;left:0;text-align:left;margin-left:335.55pt;margin-top:21.05pt;width:3.7pt;height:13.55pt;z-index:15731200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AMIKACINE</w:t>
                  </w:r>
                </w:p>
              </w:txbxContent>
            </v:textbox>
            <w10:wrap anchorx="page"/>
          </v:shape>
        </w:pict>
      </w:r>
      <w:r>
        <w:pict>
          <v:shape id="_x0000_s1086" type="#_x0000_t202" style="position:absolute;left:0;text-align:left;margin-left:339.7pt;margin-top:19.65pt;width:3.7pt;height:16.35pt;z-index:15731712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AMIODARONE</w:t>
                  </w:r>
                </w:p>
              </w:txbxContent>
            </v:textbox>
            <w10:wrap anchorx="page"/>
          </v:shape>
        </w:pict>
      </w:r>
      <w:r>
        <w:pict>
          <v:shape id="_x0000_s1085" type="#_x0000_t202" style="position:absolute;left:0;text-align:left;margin-left:343.85pt;margin-top:18.45pt;width:3.7pt;height:18.8pt;z-index:15732224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AZITHROMYCINE</w:t>
                  </w:r>
                </w:p>
              </w:txbxContent>
            </v:textbox>
            <w10:wrap anchorx="page"/>
          </v:shape>
        </w:pict>
      </w:r>
      <w:r>
        <w:pict>
          <v:shape id="_x0000_s1084" type="#_x0000_t202" style="position:absolute;left:0;text-align:left;margin-left:347.95pt;margin-top:21pt;width:3.7pt;height:13.65pt;z-index:15732736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BACLOFENE</w:t>
                  </w:r>
                </w:p>
              </w:txbxContent>
            </v:textbox>
            <w10:wrap anchorx="page"/>
          </v:shape>
        </w:pict>
      </w:r>
      <w:r>
        <w:pict>
          <v:shape id="_x0000_s1083" type="#_x0000_t202" style="position:absolute;left:0;text-align:left;margin-left:352.1pt;margin-top:22.15pt;width:3.7pt;height:11.3pt;z-index:15733248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BACTRIM</w:t>
                  </w:r>
                </w:p>
              </w:txbxContent>
            </v:textbox>
            <w10:wrap anchorx="page"/>
          </v:shape>
        </w:pict>
      </w:r>
      <w:r>
        <w:pict>
          <v:shape id="_x0000_s1082" type="#_x0000_t202" style="position:absolute;left:0;text-align:left;margin-left:356.25pt;margin-top:20.25pt;width:3.7pt;height:15.15pt;z-index:15733760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BUDESONIDE</w:t>
                  </w:r>
                </w:p>
              </w:txbxContent>
            </v:textbox>
            <w10:wrap anchorx="page"/>
          </v:shape>
        </w:pict>
      </w:r>
      <w:r>
        <w:pict>
          <v:shape id="_x0000_s1081" type="#_x0000_t202" style="position:absolute;left:0;text-align:left;margin-left:360.35pt;margin-top:21.65pt;width:3.7pt;height:12.25pt;z-index:15734272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CANCIDAS</w:t>
                  </w:r>
                </w:p>
              </w:txbxContent>
            </v:textbox>
            <w10:wrap anchorx="page"/>
          </v:shape>
        </w:pict>
      </w:r>
      <w:r>
        <w:pict>
          <v:shape id="_x0000_s1080" type="#_x0000_t202" style="position:absolute;left:0;text-align:left;margin-left:364.5pt;margin-top:19.6pt;width:3.7pt;height:16.4pt;z-index:15734784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CATAPRESSAN</w:t>
                  </w:r>
                </w:p>
              </w:txbxContent>
            </v:textbox>
            <w10:wrap anchorx="page"/>
          </v:shape>
        </w:pict>
      </w:r>
      <w:r>
        <w:pict>
          <v:shape id="_x0000_s1079" type="#_x0000_t202" style="position:absolute;left:0;text-align:left;margin-left:368.65pt;margin-top:21.95pt;width:3.7pt;height:11.7pt;z-index:15735296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CERNEVIT</w:t>
                  </w:r>
                </w:p>
              </w:txbxContent>
            </v:textbox>
            <w10:wrap anchorx="page"/>
          </v:shape>
        </w:pict>
      </w:r>
      <w:r>
        <w:pict>
          <v:shape id="_x0000_s1078" type="#_x0000_t202" style="position:absolute;left:0;text-align:left;margin-left:372.75pt;margin-top:18.25pt;width:3.7pt;height:19.2pt;z-index:15735808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CIPROFLOXACINE</w:t>
                  </w:r>
                </w:p>
              </w:txbxContent>
            </v:textbox>
            <w10:wrap anchorx="page"/>
          </v:shape>
        </w:pict>
      </w:r>
      <w:r>
        <w:pict>
          <v:shape id="_x0000_s1077" type="#_x0000_t202" style="position:absolute;left:0;text-align:left;margin-left:376.9pt;margin-top:19.15pt;width:3.7pt;height:17.35pt;z-index:15736320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CLINDAMYCINE</w:t>
                  </w:r>
                </w:p>
              </w:txbxContent>
            </v:textbox>
            <w10:wrap anchorx="page"/>
          </v:shape>
        </w:pict>
      </w:r>
      <w:r>
        <w:pict>
          <v:shape id="_x0000_s1076" type="#_x0000_t202" style="position:absolute;left:0;text-align:left;margin-left:381.05pt;margin-top:20.85pt;width:3.7pt;height:13.95pt;z-index:15736832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spacing w:val="-1"/>
                      <w:w w:val="160"/>
                      <w:sz w:val="3"/>
                    </w:rPr>
                    <w:t xml:space="preserve">COLI </w:t>
                  </w:r>
                  <w:r>
                    <w:rPr>
                      <w:b/>
                      <w:color w:val="040404"/>
                      <w:w w:val="160"/>
                      <w:sz w:val="3"/>
                    </w:rPr>
                    <w:t>GENTA</w:t>
                  </w:r>
                </w:p>
              </w:txbxContent>
            </v:textbox>
            <w10:wrap anchorx="page"/>
          </v:shape>
        </w:pict>
      </w:r>
      <w:r>
        <w:pict>
          <v:shape id="_x0000_s1075" type="#_x0000_t202" style="position:absolute;left:0;text-align:left;margin-left:385.2pt;margin-top:20.6pt;width:3.7pt;height:14.45pt;z-index:15737344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COLIMYCINE</w:t>
                  </w:r>
                </w:p>
              </w:txbxContent>
            </v:textbox>
            <w10:wrap anchorx="page"/>
          </v:shape>
        </w:pict>
      </w:r>
      <w:r>
        <w:pict>
          <v:shape id="_x0000_s1074" type="#_x0000_t202" style="position:absolute;left:0;text-align:left;margin-left:389.3pt;margin-top:17.7pt;width:3.7pt;height:20.25pt;z-index:15737856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DEXAMETHASONE</w:t>
                  </w:r>
                </w:p>
              </w:txbxContent>
            </v:textbox>
            <w10:wrap anchorx="page"/>
          </v:shape>
        </w:pict>
      </w:r>
      <w:r>
        <w:pict>
          <v:shape id="_x0000_s1073" type="#_x0000_t202" style="position:absolute;left:0;text-align:left;margin-left:393.45pt;margin-top:21.45pt;width:3.7pt;height:12.65pt;z-index:15738368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DIAZEPAM</w:t>
                  </w:r>
                </w:p>
              </w:txbxContent>
            </v:textbox>
            <w10:wrap anchorx="page"/>
          </v:shape>
        </w:pict>
      </w:r>
      <w:r>
        <w:pict>
          <v:shape id="_x0000_s1072" type="#_x0000_t202" style="position:absolute;left:0;text-align:left;margin-left:397.6pt;margin-top:19.55pt;width:3.7pt;height:16.5pt;z-index:15738880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ENOXAPARINE</w:t>
                  </w:r>
                </w:p>
              </w:txbxContent>
            </v:textbox>
            <w10:wrap anchorx="page"/>
          </v:shape>
        </w:pict>
      </w:r>
      <w:r>
        <w:pict>
          <v:shape id="_x0000_s1071" type="#_x0000_t202" style="position:absolute;left:0;text-align:left;margin-left:401.7pt;margin-top:20.65pt;width:3.7pt;height:14.35pt;z-index:15739392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ERTAPENEM</w:t>
                  </w:r>
                </w:p>
              </w:txbxContent>
            </v:textbox>
            <w10:wrap anchorx="page"/>
          </v:shape>
        </w:pict>
      </w:r>
      <w:r>
        <w:pict>
          <v:shape id="_x0000_s1070" type="#_x0000_t202" style="position:absolute;left:0;text-align:left;margin-left:405.85pt;margin-top:21.65pt;width:3.7pt;height:12.25pt;z-index:15739904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FENTANYL</w:t>
                  </w:r>
                </w:p>
              </w:txbxContent>
            </v:textbox>
            <w10:wrap anchorx="page"/>
          </v:shape>
        </w:pict>
      </w:r>
      <w:r>
        <w:pict>
          <v:shape id="_x0000_s1069" type="#_x0000_t202" style="position:absolute;left:0;text-align:left;margin-left:410pt;margin-top:16.45pt;width:3.7pt;height:22.75pt;z-index:15740416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spacing w:val="-1"/>
                      <w:w w:val="160"/>
                      <w:sz w:val="3"/>
                    </w:rPr>
                    <w:t>FERREUX</w:t>
                  </w:r>
                  <w:r>
                    <w:rPr>
                      <w:b/>
                      <w:color w:val="040404"/>
                      <w:w w:val="160"/>
                      <w:sz w:val="3"/>
                    </w:rPr>
                    <w:t xml:space="preserve"> FUMARATE</w:t>
                  </w:r>
                </w:p>
              </w:txbxContent>
            </v:textbox>
            <w10:wrap anchorx="page"/>
          </v:shape>
        </w:pict>
      </w:r>
      <w:r>
        <w:pict>
          <v:shape id="_x0000_s1068" type="#_x0000_t202" style="position:absolute;left:0;text-align:left;margin-left:414.1pt;margin-top:19.6pt;width:3.7pt;height:16.4pt;z-index:15740928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FLUCONAZOLE</w:t>
                  </w:r>
                </w:p>
              </w:txbxContent>
            </v:textbox>
            <w10:wrap anchorx="page"/>
          </v:shape>
        </w:pict>
      </w:r>
      <w:r>
        <w:pict>
          <v:shape id="_x0000_s1067" type="#_x0000_t202" style="position:absolute;left:0;text-align:left;margin-left:418.25pt;margin-top:20.2pt;width:3.7pt;height:15.25pt;z-index:15741440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FUROSEMIDE</w:t>
                  </w:r>
                </w:p>
              </w:txbxContent>
            </v:textbox>
            <w10:wrap anchorx="page"/>
          </v:shape>
        </w:pict>
      </w:r>
      <w:r>
        <w:pict>
          <v:shape id="_x0000_s1066" type="#_x0000_t202" style="position:absolute;left:0;text-align:left;margin-left:422.4pt;margin-top:19.7pt;width:3.7pt;height:16.25pt;z-index:15741952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GENTAMICINE</w:t>
                  </w:r>
                </w:p>
              </w:txbxContent>
            </v:textbox>
            <w10:wrap anchorx="page"/>
          </v:shape>
        </w:pict>
      </w:r>
      <w:r>
        <w:pict>
          <v:shape id="_x0000_s1065" type="#_x0000_t202" style="position:absolute;left:0;text-align:left;margin-left:426.5pt;margin-top:19.8pt;width:3.7pt;height:16.05pt;z-index:15742464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HALOPERIDOL</w:t>
                  </w:r>
                </w:p>
              </w:txbxContent>
            </v:textbox>
            <w10:wrap anchorx="page"/>
          </v:shape>
        </w:pict>
      </w:r>
      <w:r>
        <w:pict>
          <v:shape id="_x0000_s1064" type="#_x0000_t202" style="position:absolute;left:0;text-align:left;margin-left:430.65pt;margin-top:21.5pt;width:3.7pt;height:12.6pt;z-index:15742976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IMIPENEM</w:t>
                  </w:r>
                </w:p>
              </w:txbxContent>
            </v:textbox>
            <w10:wrap anchorx="page"/>
          </v:shape>
        </w:pict>
      </w:r>
      <w:r>
        <w:pict>
          <v:shape id="_x0000_s1063" type="#_x0000_t202" style="position:absolute;left:0;text-align:left;margin-left:434.8pt;margin-top:13.6pt;width:3.7pt;height:27.25pt;z-index:15743488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spacing w:val="-1"/>
                      <w:w w:val="160"/>
                      <w:sz w:val="3"/>
                    </w:rPr>
                    <w:t xml:space="preserve">IPRATROPIUM </w:t>
                  </w:r>
                  <w:r>
                    <w:rPr>
                      <w:b/>
                      <w:color w:val="040404"/>
                      <w:w w:val="160"/>
                      <w:sz w:val="3"/>
                    </w:rPr>
                    <w:t>BROMURE</w:t>
                  </w:r>
                </w:p>
              </w:txbxContent>
            </v:textbox>
            <w10:wrap anchorx="page"/>
          </v:shape>
        </w:pict>
      </w:r>
      <w:r>
        <w:pict>
          <v:shape id="_x0000_s1062" type="#_x0000_t202" style="position:absolute;left:0;text-align:left;margin-left:438.9pt;margin-top:21.55pt;width:3.7pt;height:12.55pt;z-index:15744000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KETAMINE</w:t>
                  </w:r>
                </w:p>
              </w:txbxContent>
            </v:textbox>
            <w10:wrap anchorx="page"/>
          </v:shape>
        </w:pict>
      </w:r>
      <w:r>
        <w:pict>
          <v:shape id="_x0000_s1061" type="#_x0000_t202" style="position:absolute;left:0;text-align:left;margin-left:443.05pt;margin-top:19.6pt;width:3.7pt;height:16.4pt;z-index:15744512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KETOPROFENE</w:t>
                  </w:r>
                </w:p>
              </w:txbxContent>
            </v:textbox>
            <w10:wrap anchorx="page"/>
          </v:shape>
        </w:pict>
      </w:r>
      <w:r>
        <w:pict>
          <v:shape id="_x0000_s1060" type="#_x0000_t202" style="position:absolute;left:0;text-align:left;margin-left:447.2pt;margin-top:21.35pt;width:3.7pt;height:12.85pt;z-index:15745024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LARGACTIL</w:t>
                  </w:r>
                </w:p>
              </w:txbxContent>
            </v:textbox>
            <w10:wrap anchorx="page"/>
          </v:shape>
        </w:pict>
      </w:r>
      <w:r>
        <w:pict>
          <v:shape id="_x0000_s1059" type="#_x0000_t202" style="position:absolute;left:0;text-align:left;margin-left:451.3pt;margin-top:18.7pt;width:3.7pt;height:18.25pt;z-index:15745536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LEVOFLOXACINE</w:t>
                  </w:r>
                </w:p>
              </w:txbxContent>
            </v:textbox>
            <w10:wrap anchorx="page"/>
          </v:shape>
        </w:pict>
      </w:r>
      <w:r>
        <w:pict>
          <v:shape id="_x0000_s1058" type="#_x0000_t202" style="position:absolute;left:0;text-align:left;margin-left:455.45pt;margin-top:18.45pt;width:3.7pt;height:18.7pt;z-index:15746048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LEVOTHYROXINE</w:t>
                  </w:r>
                </w:p>
              </w:txbxContent>
            </v:textbox>
            <w10:wrap anchorx="page"/>
          </v:shape>
        </w:pict>
      </w:r>
      <w:r>
        <w:pict>
          <v:shape id="_x0000_s1057" type="#_x0000_t202" style="position:absolute;left:0;text-align:left;margin-left:459.6pt;margin-top:20.1pt;width:3.7pt;height:15.4pt;z-index:15746560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MEROPENEM</w:t>
                  </w:r>
                </w:p>
              </w:txbxContent>
            </v:textbox>
            <w10:wrap anchorx="page"/>
          </v:shape>
        </w:pict>
      </w:r>
      <w:r>
        <w:pict>
          <v:shape id="_x0000_s1056" type="#_x0000_t202" style="position:absolute;left:0;text-align:left;margin-left:463.7pt;margin-top:19.85pt;width:3.7pt;height:15.9pt;z-index:15747072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METFORMINE</w:t>
                  </w:r>
                </w:p>
              </w:txbxContent>
            </v:textbox>
            <w10:wrap anchorx="page"/>
          </v:shape>
        </w:pict>
      </w:r>
      <w:r>
        <w:pict>
          <v:shape id="_x0000_s1055" type="#_x0000_t202" style="position:absolute;left:0;text-align:left;margin-left:467.85pt;margin-top:15pt;width:3.7pt;height:25.7pt;z-index:15747584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METHYLPREDNISOLONE</w:t>
                  </w:r>
                </w:p>
              </w:txbxContent>
            </v:textbox>
            <w10:wrap anchorx="page"/>
          </v:shape>
        </w:pict>
      </w:r>
      <w:r>
        <w:pict>
          <v:shape id="_x0000_s1054" type="#_x0000_t202" style="position:absolute;left:0;text-align:left;margin-left:472pt;margin-top:18.1pt;width:3.7pt;height:19.4pt;z-index:15748096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METRONIDAZOLE</w:t>
                  </w:r>
                </w:p>
              </w:txbxContent>
            </v:textbox>
            <w10:wrap anchorx="page"/>
          </v:shape>
        </w:pict>
      </w:r>
      <w:r>
        <w:pict>
          <v:shape id="_x0000_s1053" type="#_x0000_t202" style="position:absolute;left:0;text-align:left;margin-left:476.15pt;margin-top:20.35pt;width:3.7pt;height:14.9pt;z-index:15748608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MIDAZOLAM</w:t>
                  </w:r>
                </w:p>
              </w:txbxContent>
            </v:textbox>
            <w10:wrap anchorx="page"/>
          </v:shape>
        </w:pict>
      </w:r>
      <w:r>
        <w:pict>
          <v:shape id="_x0000_s1052" type="#_x0000_t202" style="position:absolute;left:0;text-align:left;margin-left:480.25pt;margin-top:21.25pt;width:3.7pt;height:13.15pt;z-index:15749120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MORPHINE</w:t>
                  </w:r>
                </w:p>
              </w:txbxContent>
            </v:textbox>
            <w10:wrap anchorx="page"/>
          </v:shape>
        </w:pict>
      </w:r>
      <w:r>
        <w:pict>
          <v:shape id="_x0000_s1051" type="#_x0000_t202" style="position:absolute;left:0;text-align:left;margin-left:484.4pt;margin-top:21.7pt;width:3.7pt;height:12.2pt;z-index:15749632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NEFOPAM</w:t>
                  </w:r>
                </w:p>
              </w:txbxContent>
            </v:textbox>
            <w10:wrap anchorx="page"/>
          </v:shape>
        </w:pict>
      </w:r>
      <w:r>
        <w:pict>
          <v:shape id="_x0000_s1050" type="#_x0000_t202" style="position:absolute;left:0;text-align:left;margin-left:488.55pt;margin-top:20.3pt;width:3.7pt;height:15.05pt;z-index:15750144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NICARDIPINE</w:t>
                  </w:r>
                </w:p>
              </w:txbxContent>
            </v:textbox>
            <w10:wrap anchorx="page"/>
          </v:shape>
        </w:pict>
      </w:r>
      <w:r>
        <w:pict>
          <v:shape id="_x0000_s1049" type="#_x0000_t202" style="position:absolute;left:0;text-align:left;margin-left:492.65pt;margin-top:22.75pt;width:3.7pt;height:10.1pt;z-index:15750656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NIMBEX</w:t>
                  </w:r>
                </w:p>
              </w:txbxContent>
            </v:textbox>
            <w10:wrap anchorx="page"/>
          </v:shape>
        </w:pict>
      </w:r>
      <w:r>
        <w:pict>
          <v:shape id="_x0000_s1048" type="#_x0000_t202" style="position:absolute;left:0;text-align:left;margin-left:496.8pt;margin-top:18.15pt;width:3.7pt;height:19.35pt;z-index:15751168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NORADRENALINE</w:t>
                  </w:r>
                </w:p>
              </w:txbxContent>
            </v:textbox>
            <w10:wrap anchorx="page"/>
          </v:shape>
        </w:pict>
      </w:r>
      <w:r>
        <w:pict>
          <v:shape id="_x0000_s1047" type="#_x0000_t202" style="position:absolute;left:0;text-align:left;margin-left:500.95pt;margin-top:22.05pt;width:3.7pt;height:11.55pt;z-index:15751680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NOZINAN</w:t>
                  </w:r>
                </w:p>
              </w:txbxContent>
            </v:textbox>
            <w10:wrap anchorx="page"/>
          </v:shape>
        </w:pict>
      </w:r>
      <w:r>
        <w:pict>
          <v:shape id="_x0000_s1046" type="#_x0000_t202" style="position:absolute;left:0;text-align:left;margin-left:505.05pt;margin-top:20.45pt;width:3.7pt;height:14.7pt;z-index:15752192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OFLOXACINE</w:t>
                  </w:r>
                </w:p>
              </w:txbxContent>
            </v:textbox>
            <w10:wrap anchorx="page"/>
          </v:shape>
        </w:pict>
      </w:r>
      <w:r>
        <w:pict>
          <v:shape id="_x0000_s1045" type="#_x0000_t202" style="position:absolute;left:0;text-align:left;margin-left:509.2pt;margin-top:19.9pt;width:3.7pt;height:15.8pt;z-index:15752704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OMEPRAZOLE</w:t>
                  </w:r>
                </w:p>
              </w:txbxContent>
            </v:textbox>
            <w10:wrap anchorx="page"/>
          </v:shape>
        </w:pict>
      </w:r>
      <w:r>
        <w:pict>
          <v:shape id="_x0000_s1044" type="#_x0000_t202" style="position:absolute;left:0;text-align:left;margin-left:513.35pt;margin-top:20.35pt;width:3.7pt;height:14.9pt;z-index:15753216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PHENYTOINE</w:t>
                  </w:r>
                </w:p>
              </w:txbxContent>
            </v:textbox>
            <w10:wrap anchorx="page"/>
          </v:shape>
        </w:pict>
      </w:r>
      <w:r>
        <w:pict>
          <v:shape id="_x0000_s1043" type="#_x0000_t202" style="position:absolute;left:0;text-align:left;margin-left:517.45pt;margin-top:21pt;width:3.7pt;height:13.6pt;z-index:15753728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PIROXICAM</w:t>
                  </w:r>
                </w:p>
              </w:txbxContent>
            </v:textbox>
            <w10:wrap anchorx="page"/>
          </v:shape>
        </w:pict>
      </w:r>
      <w:r>
        <w:pict>
          <v:shape id="_x0000_s1042" type="#_x0000_t202" style="position:absolute;left:0;text-align:left;margin-left:521.6pt;margin-top:21.4pt;width:3.7pt;height:12.75pt;z-index:15754240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PROPOFOL</w:t>
                  </w:r>
                </w:p>
              </w:txbxContent>
            </v:textbox>
            <w10:wrap anchorx="page"/>
          </v:shape>
        </w:pict>
      </w:r>
      <w:r>
        <w:pict>
          <v:shape id="_x0000_s1041" type="#_x0000_t202" style="position:absolute;left:0;text-align:left;margin-left:525.75pt;margin-top:19.4pt;width:3.7pt;height:16.9pt;z-index:15754752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REMIFENTANIL</w:t>
                  </w:r>
                </w:p>
              </w:txbxContent>
            </v:textbox>
            <w10:wrap anchorx="page"/>
          </v:shape>
        </w:pict>
      </w:r>
      <w:r>
        <w:pict>
          <v:shape id="_x0000_s1040" type="#_x0000_t202" style="position:absolute;left:0;text-align:left;margin-left:529.85pt;margin-top:20.3pt;width:3.7pt;height:15pt;z-index:15755264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RINGER</w:t>
                  </w:r>
                  <w:r>
                    <w:rPr>
                      <w:b/>
                      <w:color w:val="040404"/>
                      <w:spacing w:val="-2"/>
                      <w:w w:val="160"/>
                      <w:sz w:val="3"/>
                    </w:rPr>
                    <w:t xml:space="preserve"> </w:t>
                  </w:r>
                  <w:r>
                    <w:rPr>
                      <w:b/>
                      <w:color w:val="040404"/>
                      <w:w w:val="160"/>
                      <w:sz w:val="3"/>
                    </w:rPr>
                    <w:t>LACT</w:t>
                  </w:r>
                </w:p>
              </w:txbxContent>
            </v:textbox>
            <w10:wrap anchorx="page"/>
          </v:shape>
        </w:pict>
      </w:r>
      <w:r>
        <w:pict>
          <v:shape id="_x0000_s1039" type="#_x0000_t202" style="position:absolute;left:0;text-align:left;margin-left:534pt;margin-top:19.4pt;width:3.7pt;height:16.85pt;z-index:15755776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RIVAROXABAN</w:t>
                  </w:r>
                </w:p>
              </w:txbxContent>
            </v:textbox>
            <w10:wrap anchorx="page"/>
          </v:shape>
        </w:pict>
      </w:r>
      <w:r>
        <w:pict>
          <v:shape id="_x0000_s1038" type="#_x0000_t202" style="position:absolute;left:0;text-align:left;margin-left:538.15pt;margin-top:22.2pt;width:3.7pt;height:11.15pt;z-index:15756288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RIVOTRIL</w:t>
                  </w:r>
                </w:p>
              </w:txbxContent>
            </v:textbox>
            <w10:wrap anchorx="page"/>
          </v:shape>
        </w:pict>
      </w:r>
      <w:r>
        <w:pict>
          <v:shape id="_x0000_s1037" type="#_x0000_t202" style="position:absolute;left:0;text-align:left;margin-left:542.3pt;margin-top:21.7pt;width:3.7pt;height:12.2pt;z-index:15756800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STEROGYL</w:t>
                  </w:r>
                </w:p>
              </w:txbxContent>
            </v:textbox>
            <w10:wrap anchorx="page"/>
          </v:shape>
        </w:pict>
      </w:r>
      <w:r>
        <w:pict>
          <v:shape id="_x0000_s1036" type="#_x0000_t202" style="position:absolute;left:0;text-align:left;margin-left:546.4pt;margin-top:20.6pt;width:3.7pt;height:14.35pt;z-index:15757312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SUFENTANIL</w:t>
                  </w:r>
                </w:p>
              </w:txbxContent>
            </v:textbox>
            <w10:wrap anchorx="page"/>
          </v:shape>
        </w:pict>
      </w:r>
      <w:r>
        <w:pict>
          <v:shape id="_x0000_s1035" type="#_x0000_t202" style="position:absolute;left:0;text-align:left;margin-left:550.55pt;margin-top:17.4pt;width:3.7pt;height:20.8pt;z-index:15757824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SUXAMETHONIUM</w:t>
                  </w:r>
                </w:p>
              </w:txbxContent>
            </v:textbox>
            <w10:wrap anchorx="page"/>
          </v:shape>
        </w:pict>
      </w:r>
      <w:r>
        <w:pict>
          <v:shape id="_x0000_s1034" type="#_x0000_t202" style="position:absolute;left:0;text-align:left;margin-left:554.7pt;margin-top:23.5pt;width:3.7pt;height:8.55pt;z-index:15758336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TAVER</w:t>
                  </w:r>
                </w:p>
              </w:txbxContent>
            </v:textbox>
            <w10:wrap anchorx="page"/>
          </v:shape>
        </w:pict>
      </w:r>
      <w:r>
        <w:pict>
          <v:shape id="_x0000_s1033" type="#_x0000_t202" style="position:absolute;left:0;text-align:left;margin-left:558.8pt;margin-top:20.5pt;width:3.7pt;height:14.65pt;z-index:15758848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TAZOCILLINE</w:t>
                  </w:r>
                </w:p>
              </w:txbxContent>
            </v:textbox>
            <w10:wrap anchorx="page"/>
          </v:shape>
        </w:pict>
      </w:r>
      <w:r>
        <w:pict>
          <v:shape id="_x0000_s1032" type="#_x0000_t202" style="position:absolute;left:0;text-align:left;margin-left:562.95pt;margin-top:19.55pt;width:3.7pt;height:16.5pt;z-index:15759360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TEICOPLANINE</w:t>
                  </w:r>
                </w:p>
              </w:txbxContent>
            </v:textbox>
            <w10:wrap anchorx="page"/>
          </v:shape>
        </w:pict>
      </w:r>
      <w:r>
        <w:pict>
          <v:shape id="_x0000_s1031" type="#_x0000_t202" style="position:absolute;left:0;text-align:left;margin-left:567.1pt;margin-top:20.5pt;width:3.7pt;height:14.65pt;z-index:15759872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TIGECYCLINE</w:t>
                  </w:r>
                </w:p>
              </w:txbxContent>
            </v:textbox>
            <w10:wrap anchorx="page"/>
          </v:shape>
        </w:pict>
      </w:r>
      <w:r>
        <w:pict>
          <v:shape id="_x0000_s1030" type="#_x0000_t202" style="position:absolute;left:0;text-align:left;margin-left:571.2pt;margin-top:19.2pt;width:3.7pt;height:17.2pt;z-index:15760384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VANCOMYCINE</w:t>
                  </w:r>
                </w:p>
              </w:txbxContent>
            </v:textbox>
            <w10:wrap anchorx="page"/>
          </v:shape>
        </w:pict>
      </w:r>
      <w:r>
        <w:pict>
          <v:shape id="_x0000_s1029" type="#_x0000_t202" style="position:absolute;left:0;text-align:left;margin-left:575.35pt;margin-top:18.95pt;width:3.7pt;height:17.75pt;z-index:15760896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VORICONAZOLE</w:t>
                  </w:r>
                </w:p>
              </w:txbxContent>
            </v:textbox>
            <w10:wrap anchorx="page"/>
          </v:shape>
        </w:pict>
      </w:r>
      <w:r>
        <w:pict>
          <v:shape id="_x0000_s1028" type="#_x0000_t202" style="position:absolute;left:0;text-align:left;margin-left:579.5pt;margin-top:23pt;width:3.7pt;height:9.6pt;z-index:15761408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ZOLOFT</w:t>
                  </w:r>
                </w:p>
              </w:txbxContent>
            </v:textbox>
            <w10:wrap anchorx="page"/>
          </v:shape>
        </w:pict>
      </w:r>
      <w:r>
        <w:pict>
          <v:shape id="_x0000_s1027" type="#_x0000_t202" style="position:absolute;left:0;text-align:left;margin-left:583.6pt;margin-top:22.4pt;width:3.7pt;height:10.85pt;z-index:15761920;mso-position-horizontal-relative:page" filled="f" stroked="f">
            <v:textbox style="layout-flow:vertical;mso-layout-flow-alt:bottom-to-top" inset="0,0,0,0">
              <w:txbxContent>
                <w:p w:rsidR="00392811" w:rsidRDefault="00A67A08">
                  <w:pPr>
                    <w:spacing w:before="16"/>
                    <w:ind w:left="20"/>
                    <w:rPr>
                      <w:b/>
                      <w:sz w:val="3"/>
                    </w:rPr>
                  </w:pPr>
                  <w:r>
                    <w:rPr>
                      <w:b/>
                      <w:color w:val="040404"/>
                      <w:w w:val="160"/>
                      <w:sz w:val="3"/>
                    </w:rPr>
                    <w:t>ZYVOXID</w:t>
                  </w:r>
                </w:p>
              </w:txbxContent>
            </v:textbox>
            <w10:wrap anchorx="page"/>
          </v:shape>
        </w:pict>
      </w:r>
      <w:bookmarkStart w:id="5" w:name="Image"/>
      <w:bookmarkEnd w:id="5"/>
      <w:r>
        <w:rPr>
          <w:rFonts w:ascii="Cambria"/>
          <w:b/>
          <w:color w:val="BE5A13"/>
        </w:rPr>
        <w:t>Image</w:t>
      </w:r>
    </w:p>
    <w:p w:rsidR="00392811" w:rsidRDefault="00392811">
      <w:pPr>
        <w:pStyle w:val="BodyText"/>
        <w:rPr>
          <w:rFonts w:ascii="Cambria"/>
          <w:b/>
          <w:sz w:val="26"/>
        </w:rPr>
      </w:pPr>
    </w:p>
    <w:p w:rsidR="00392811" w:rsidRDefault="00392811">
      <w:pPr>
        <w:pStyle w:val="BodyText"/>
        <w:rPr>
          <w:rFonts w:ascii="Cambria"/>
          <w:b/>
          <w:sz w:val="26"/>
        </w:rPr>
      </w:pPr>
    </w:p>
    <w:p w:rsidR="00392811" w:rsidRDefault="00392811">
      <w:pPr>
        <w:pStyle w:val="BodyText"/>
        <w:spacing w:before="9"/>
        <w:rPr>
          <w:rFonts w:ascii="Cambria"/>
          <w:b/>
          <w:sz w:val="20"/>
        </w:rPr>
      </w:pPr>
    </w:p>
    <w:p w:rsidR="00392811" w:rsidRDefault="00A67A08">
      <w:pPr>
        <w:ind w:left="108"/>
        <w:rPr>
          <w:b/>
          <w:sz w:val="4"/>
        </w:rPr>
      </w:pPr>
      <w:r>
        <w:rPr>
          <w:b/>
          <w:color w:val="040404"/>
          <w:w w:val="83"/>
          <w:sz w:val="4"/>
        </w:rPr>
        <w:t>A</w:t>
      </w: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spacing w:before="5"/>
        <w:rPr>
          <w:b/>
          <w:sz w:val="5"/>
        </w:rPr>
      </w:pPr>
    </w:p>
    <w:p w:rsidR="00392811" w:rsidRDefault="00A67A08">
      <w:pPr>
        <w:ind w:left="108"/>
        <w:rPr>
          <w:b/>
          <w:sz w:val="4"/>
        </w:rPr>
      </w:pPr>
      <w:r>
        <w:rPr>
          <w:b/>
          <w:color w:val="040404"/>
          <w:w w:val="83"/>
          <w:sz w:val="4"/>
        </w:rPr>
        <w:t>G</w:t>
      </w: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spacing w:before="1"/>
        <w:rPr>
          <w:b/>
          <w:sz w:val="4"/>
        </w:rPr>
      </w:pPr>
    </w:p>
    <w:p w:rsidR="00392811" w:rsidRDefault="00A67A08">
      <w:pPr>
        <w:ind w:left="108"/>
        <w:rPr>
          <w:b/>
          <w:sz w:val="4"/>
        </w:rPr>
      </w:pPr>
      <w:r>
        <w:rPr>
          <w:b/>
          <w:w w:val="83"/>
          <w:sz w:val="4"/>
        </w:rPr>
        <w:t>N</w:t>
      </w: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spacing w:before="6"/>
        <w:rPr>
          <w:b/>
          <w:sz w:val="3"/>
        </w:rPr>
      </w:pPr>
    </w:p>
    <w:p w:rsidR="00392811" w:rsidRDefault="00A67A08">
      <w:pPr>
        <w:ind w:left="108"/>
        <w:rPr>
          <w:b/>
          <w:sz w:val="4"/>
        </w:rPr>
      </w:pPr>
      <w:r>
        <w:rPr>
          <w:b/>
          <w:color w:val="040404"/>
          <w:w w:val="83"/>
          <w:sz w:val="4"/>
        </w:rPr>
        <w:t>N</w:t>
      </w: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rPr>
          <w:b/>
          <w:sz w:val="4"/>
        </w:rPr>
      </w:pPr>
    </w:p>
    <w:p w:rsidR="00392811" w:rsidRDefault="00392811">
      <w:pPr>
        <w:pStyle w:val="BodyText"/>
        <w:spacing w:before="5"/>
        <w:rPr>
          <w:b/>
          <w:sz w:val="4"/>
        </w:rPr>
      </w:pPr>
    </w:p>
    <w:p w:rsidR="00392811" w:rsidRDefault="00A67A08">
      <w:pPr>
        <w:ind w:left="567"/>
        <w:rPr>
          <w:rFonts w:ascii="Cambria"/>
          <w:b/>
        </w:rPr>
      </w:pPr>
      <w:r>
        <w:pict>
          <v:shape id="_x0000_s1026" type="#_x0000_t202" style="position:absolute;left:0;text-align:left;margin-left:476.35pt;margin-top:19.1pt;width:113.35pt;height:54.75pt;z-index:15762432;mso-position-horizontal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781"/>
                    <w:gridCol w:w="470"/>
                  </w:tblGrid>
                  <w:tr w:rsidR="00392811">
                    <w:trPr>
                      <w:trHeight w:val="196"/>
                    </w:trPr>
                    <w:tc>
                      <w:tcPr>
                        <w:tcW w:w="1781" w:type="dxa"/>
                        <w:tcBorders>
                          <w:right w:val="nil"/>
                        </w:tcBorders>
                      </w:tcPr>
                      <w:p w:rsidR="00392811" w:rsidRDefault="00A67A08">
                        <w:pPr>
                          <w:pStyle w:val="TableParagraph"/>
                          <w:ind w:left="50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Association</w:t>
                        </w:r>
                      </w:p>
                    </w:tc>
                    <w:tc>
                      <w:tcPr>
                        <w:tcW w:w="470" w:type="dxa"/>
                        <w:tcBorders>
                          <w:left w:val="nil"/>
                        </w:tcBorders>
                      </w:tcPr>
                      <w:p w:rsidR="00392811" w:rsidRDefault="00A67A08">
                        <w:pPr>
                          <w:pStyle w:val="TableParagraph"/>
                          <w:ind w:left="7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color</w:t>
                        </w:r>
                      </w:p>
                    </w:tc>
                  </w:tr>
                  <w:tr w:rsidR="00392811">
                    <w:trPr>
                      <w:trHeight w:val="249"/>
                    </w:trPr>
                    <w:tc>
                      <w:tcPr>
                        <w:tcW w:w="1781" w:type="dxa"/>
                        <w:tcBorders>
                          <w:right w:val="nil"/>
                        </w:tcBorders>
                      </w:tcPr>
                      <w:p w:rsidR="00392811" w:rsidRDefault="00A67A08">
                        <w:pPr>
                          <w:pStyle w:val="TableParagraph"/>
                          <w:spacing w:before="54"/>
                          <w:ind w:left="7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Contraindication</w:t>
                        </w:r>
                      </w:p>
                    </w:tc>
                    <w:tc>
                      <w:tcPr>
                        <w:tcW w:w="470" w:type="dxa"/>
                        <w:tcBorders>
                          <w:left w:val="nil"/>
                        </w:tcBorders>
                        <w:shd w:val="clear" w:color="auto" w:fill="FF0000"/>
                      </w:tcPr>
                      <w:p w:rsidR="00392811" w:rsidRDefault="00392811">
                        <w:pPr>
                          <w:pStyle w:val="TableParagraph"/>
                          <w:spacing w:before="0" w:line="240" w:lineRule="auto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392811">
                    <w:trPr>
                      <w:trHeight w:val="196"/>
                    </w:trPr>
                    <w:tc>
                      <w:tcPr>
                        <w:tcW w:w="1781" w:type="dxa"/>
                        <w:tcBorders>
                          <w:right w:val="nil"/>
                        </w:tcBorders>
                      </w:tcPr>
                      <w:p w:rsidR="00392811" w:rsidRDefault="00A67A08">
                        <w:pPr>
                          <w:pStyle w:val="TableParagraph"/>
                          <w:ind w:left="7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not</w:t>
                        </w:r>
                        <w:r>
                          <w:rPr>
                            <w:b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recommended</w:t>
                        </w:r>
                      </w:p>
                    </w:tc>
                    <w:tc>
                      <w:tcPr>
                        <w:tcW w:w="470" w:type="dxa"/>
                        <w:tcBorders>
                          <w:left w:val="nil"/>
                        </w:tcBorders>
                        <w:shd w:val="clear" w:color="auto" w:fill="FFFF00"/>
                      </w:tcPr>
                      <w:p w:rsidR="00392811" w:rsidRDefault="00392811">
                        <w:pPr>
                          <w:pStyle w:val="TableParagraph"/>
                          <w:spacing w:before="0" w:line="240" w:lineRule="auto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392811">
                    <w:trPr>
                      <w:trHeight w:val="196"/>
                    </w:trPr>
                    <w:tc>
                      <w:tcPr>
                        <w:tcW w:w="1781" w:type="dxa"/>
                        <w:tcBorders>
                          <w:right w:val="nil"/>
                        </w:tcBorders>
                      </w:tcPr>
                      <w:p w:rsidR="00392811" w:rsidRDefault="00A67A08">
                        <w:pPr>
                          <w:pStyle w:val="TableParagraph"/>
                          <w:ind w:left="7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F2023"/>
                            <w:sz w:val="16"/>
                          </w:rPr>
                          <w:t>precautions</w:t>
                        </w:r>
                        <w:r>
                          <w:rPr>
                            <w:b/>
                            <w:color w:val="1F2023"/>
                            <w:spacing w:val="-9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1F2023"/>
                            <w:sz w:val="16"/>
                          </w:rPr>
                          <w:t>emplyment</w:t>
                        </w:r>
                        <w:proofErr w:type="spellEnd"/>
                      </w:p>
                    </w:tc>
                    <w:tc>
                      <w:tcPr>
                        <w:tcW w:w="470" w:type="dxa"/>
                        <w:tcBorders>
                          <w:left w:val="nil"/>
                        </w:tcBorders>
                        <w:shd w:val="clear" w:color="auto" w:fill="6FAC46"/>
                      </w:tcPr>
                      <w:p w:rsidR="00392811" w:rsidRDefault="00392811">
                        <w:pPr>
                          <w:pStyle w:val="TableParagraph"/>
                          <w:spacing w:before="0" w:line="240" w:lineRule="auto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392811">
                    <w:trPr>
                      <w:trHeight w:val="196"/>
                    </w:trPr>
                    <w:tc>
                      <w:tcPr>
                        <w:tcW w:w="1781" w:type="dxa"/>
                        <w:tcBorders>
                          <w:right w:val="nil"/>
                        </w:tcBorders>
                        <w:shd w:val="clear" w:color="auto" w:fill="F8F8F9"/>
                      </w:tcPr>
                      <w:p w:rsidR="00392811" w:rsidRDefault="00A67A08">
                        <w:pPr>
                          <w:pStyle w:val="TableParagraph"/>
                          <w:ind w:left="7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F2023"/>
                            <w:sz w:val="16"/>
                          </w:rPr>
                          <w:t>caution</w:t>
                        </w:r>
                      </w:p>
                    </w:tc>
                    <w:tc>
                      <w:tcPr>
                        <w:tcW w:w="470" w:type="dxa"/>
                        <w:tcBorders>
                          <w:left w:val="nil"/>
                        </w:tcBorders>
                        <w:shd w:val="clear" w:color="auto" w:fill="4471C4"/>
                      </w:tcPr>
                      <w:p w:rsidR="00392811" w:rsidRDefault="00392811">
                        <w:pPr>
                          <w:pStyle w:val="TableParagraph"/>
                          <w:spacing w:before="0" w:line="240" w:lineRule="auto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392811" w:rsidRDefault="00392811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bookmarkStart w:id="6" w:name="Figure_1_:_The_table_of_drug_interaction"/>
      <w:bookmarkEnd w:id="6"/>
      <w:r>
        <w:rPr>
          <w:rFonts w:ascii="Cambria"/>
          <w:color w:val="4F81BC"/>
        </w:rPr>
        <w:t>Figure</w:t>
      </w:r>
      <w:r>
        <w:rPr>
          <w:rFonts w:ascii="Cambria"/>
          <w:color w:val="4F81BC"/>
          <w:spacing w:val="-5"/>
        </w:rPr>
        <w:t xml:space="preserve"> </w:t>
      </w:r>
      <w:proofErr w:type="gramStart"/>
      <w:r>
        <w:rPr>
          <w:rFonts w:ascii="Cambria"/>
          <w:color w:val="4F81BC"/>
        </w:rPr>
        <w:t>1</w:t>
      </w:r>
      <w:r>
        <w:rPr>
          <w:rFonts w:ascii="Cambria"/>
          <w:color w:val="4F81BC"/>
          <w:spacing w:val="-4"/>
        </w:rPr>
        <w:t xml:space="preserve"> </w:t>
      </w:r>
      <w:r>
        <w:rPr>
          <w:rFonts w:ascii="Cambria"/>
          <w:color w:val="4F81BC"/>
        </w:rPr>
        <w:t>:</w:t>
      </w:r>
      <w:proofErr w:type="gramEnd"/>
      <w:r>
        <w:rPr>
          <w:rFonts w:ascii="Cambria"/>
          <w:color w:val="4F81BC"/>
          <w:spacing w:val="-4"/>
        </w:rPr>
        <w:t xml:space="preserve"> </w:t>
      </w:r>
      <w:r>
        <w:rPr>
          <w:rFonts w:ascii="Cambria"/>
          <w:b/>
          <w:color w:val="4F81BC"/>
        </w:rPr>
        <w:t>The table</w:t>
      </w:r>
      <w:r>
        <w:rPr>
          <w:rFonts w:ascii="Cambria"/>
          <w:b/>
          <w:color w:val="4F81BC"/>
          <w:spacing w:val="-3"/>
        </w:rPr>
        <w:t xml:space="preserve"> </w:t>
      </w:r>
      <w:r>
        <w:rPr>
          <w:rFonts w:ascii="Cambria"/>
          <w:b/>
          <w:color w:val="4F81BC"/>
        </w:rPr>
        <w:t>of</w:t>
      </w:r>
      <w:r>
        <w:rPr>
          <w:rFonts w:ascii="Cambria"/>
          <w:b/>
          <w:color w:val="4F81BC"/>
          <w:spacing w:val="-2"/>
        </w:rPr>
        <w:t xml:space="preserve"> </w:t>
      </w:r>
      <w:r>
        <w:rPr>
          <w:rFonts w:ascii="Cambria"/>
          <w:b/>
          <w:color w:val="4F81BC"/>
        </w:rPr>
        <w:t>drug</w:t>
      </w:r>
      <w:r>
        <w:rPr>
          <w:rFonts w:ascii="Cambria"/>
          <w:b/>
          <w:color w:val="4F81BC"/>
          <w:spacing w:val="5"/>
        </w:rPr>
        <w:t xml:space="preserve"> </w:t>
      </w:r>
      <w:r>
        <w:rPr>
          <w:rFonts w:ascii="Cambria"/>
          <w:b/>
          <w:color w:val="4F81BC"/>
        </w:rPr>
        <w:t>interactions</w:t>
      </w:r>
    </w:p>
    <w:p w:rsidR="00392811" w:rsidRDefault="00392811">
      <w:pPr>
        <w:pStyle w:val="BodyText"/>
        <w:rPr>
          <w:rFonts w:ascii="Cambria"/>
          <w:b/>
          <w:sz w:val="26"/>
        </w:rPr>
      </w:pPr>
    </w:p>
    <w:p w:rsidR="00392811" w:rsidRDefault="00392811">
      <w:pPr>
        <w:pStyle w:val="BodyText"/>
        <w:rPr>
          <w:rFonts w:ascii="Cambria"/>
          <w:b/>
          <w:sz w:val="26"/>
        </w:rPr>
      </w:pPr>
    </w:p>
    <w:p w:rsidR="00392811" w:rsidRDefault="00392811">
      <w:pPr>
        <w:pStyle w:val="BodyText"/>
        <w:spacing w:before="2"/>
        <w:rPr>
          <w:rFonts w:ascii="Cambria"/>
          <w:b/>
          <w:sz w:val="30"/>
        </w:rPr>
      </w:pPr>
    </w:p>
    <w:p w:rsidR="00392811" w:rsidRDefault="00A67A08">
      <w:pPr>
        <w:pStyle w:val="Heading2"/>
        <w:ind w:left="130"/>
      </w:pPr>
      <w:r>
        <w:rPr>
          <w:color w:val="BE5A13"/>
        </w:rPr>
        <w:t>Publications</w:t>
      </w:r>
    </w:p>
    <w:p w:rsidR="00392811" w:rsidRDefault="00392811">
      <w:pPr>
        <w:pStyle w:val="BodyText"/>
        <w:spacing w:before="1"/>
        <w:rPr>
          <w:rFonts w:ascii="Arial"/>
          <w:b/>
          <w:sz w:val="21"/>
        </w:rPr>
      </w:pPr>
    </w:p>
    <w:p w:rsidR="00392811" w:rsidRDefault="00A67A08">
      <w:pPr>
        <w:pStyle w:val="ListParagraph"/>
        <w:numPr>
          <w:ilvl w:val="0"/>
          <w:numId w:val="1"/>
        </w:numPr>
        <w:tabs>
          <w:tab w:val="left" w:pos="270"/>
          <w:tab w:val="left" w:pos="1752"/>
          <w:tab w:val="left" w:pos="3283"/>
          <w:tab w:val="left" w:pos="4637"/>
        </w:tabs>
        <w:spacing w:before="0" w:line="276" w:lineRule="auto"/>
        <w:ind w:firstLine="0"/>
        <w:jc w:val="both"/>
        <w:rPr>
          <w:sz w:val="18"/>
        </w:rPr>
      </w:pPr>
      <w:r>
        <w:rPr>
          <w:sz w:val="18"/>
        </w:rPr>
        <w:t>European</w:t>
      </w:r>
      <w:r>
        <w:rPr>
          <w:sz w:val="18"/>
        </w:rPr>
        <w:tab/>
        <w:t>Medicines</w:t>
      </w:r>
      <w:r>
        <w:rPr>
          <w:sz w:val="18"/>
        </w:rPr>
        <w:tab/>
        <w:t>Agency.</w:t>
      </w:r>
      <w:r>
        <w:rPr>
          <w:sz w:val="18"/>
        </w:rPr>
        <w:tab/>
      </w:r>
      <w:r>
        <w:rPr>
          <w:spacing w:val="-1"/>
          <w:sz w:val="18"/>
        </w:rPr>
        <w:t>https://www.ema.</w:t>
      </w:r>
      <w:r>
        <w:rPr>
          <w:spacing w:val="-39"/>
          <w:sz w:val="18"/>
        </w:rPr>
        <w:t xml:space="preserve"> </w:t>
      </w:r>
      <w:r>
        <w:rPr>
          <w:sz w:val="18"/>
        </w:rPr>
        <w:t>europa.eu/en/documents/report/2021-annualreport-eudravigilance-european-</w:t>
      </w:r>
      <w:r>
        <w:rPr>
          <w:spacing w:val="1"/>
          <w:sz w:val="18"/>
        </w:rPr>
        <w:t xml:space="preserve"> </w:t>
      </w:r>
      <w:r>
        <w:rPr>
          <w:sz w:val="18"/>
        </w:rPr>
        <w:t>parliamentcouncil-commission_en.pdf</w:t>
      </w:r>
    </w:p>
    <w:p w:rsidR="00392811" w:rsidRDefault="00A67A08">
      <w:pPr>
        <w:pStyle w:val="ListParagraph"/>
        <w:numPr>
          <w:ilvl w:val="0"/>
          <w:numId w:val="1"/>
        </w:numPr>
        <w:tabs>
          <w:tab w:val="left" w:pos="347"/>
        </w:tabs>
        <w:spacing w:line="273" w:lineRule="auto"/>
        <w:ind w:right="63" w:firstLine="0"/>
        <w:jc w:val="both"/>
        <w:rPr>
          <w:sz w:val="18"/>
        </w:rPr>
      </w:pPr>
      <w:proofErr w:type="spellStart"/>
      <w:r>
        <w:rPr>
          <w:sz w:val="18"/>
        </w:rPr>
        <w:t>Sardella</w:t>
      </w:r>
      <w:proofErr w:type="spellEnd"/>
      <w:r>
        <w:rPr>
          <w:sz w:val="18"/>
        </w:rPr>
        <w:t xml:space="preserve"> M, Belcher G, </w:t>
      </w:r>
      <w:proofErr w:type="spellStart"/>
      <w:r>
        <w:rPr>
          <w:sz w:val="18"/>
        </w:rPr>
        <w:t>Lungu</w:t>
      </w:r>
      <w:proofErr w:type="spellEnd"/>
      <w:r>
        <w:rPr>
          <w:sz w:val="18"/>
        </w:rPr>
        <w:t xml:space="preserve"> C, et al. Monitoring the manufacturing and</w:t>
      </w:r>
      <w:r>
        <w:rPr>
          <w:spacing w:val="1"/>
          <w:sz w:val="18"/>
        </w:rPr>
        <w:t xml:space="preserve"> </w:t>
      </w:r>
      <w:r>
        <w:rPr>
          <w:sz w:val="18"/>
        </w:rPr>
        <w:t>quality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medicines: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fundamental</w:t>
      </w:r>
      <w:r>
        <w:rPr>
          <w:spacing w:val="-2"/>
          <w:sz w:val="18"/>
        </w:rPr>
        <w:t xml:space="preserve"> </w:t>
      </w:r>
      <w:r>
        <w:rPr>
          <w:sz w:val="18"/>
        </w:rPr>
        <w:t>task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pharmacovigilance</w:t>
      </w:r>
      <w:proofErr w:type="spellEnd"/>
      <w:r>
        <w:rPr>
          <w:sz w:val="18"/>
        </w:rPr>
        <w:t>.</w:t>
      </w:r>
    </w:p>
    <w:p w:rsidR="00392811" w:rsidRDefault="00A67A08">
      <w:pPr>
        <w:pStyle w:val="ListParagraph"/>
        <w:numPr>
          <w:ilvl w:val="0"/>
          <w:numId w:val="1"/>
        </w:numPr>
        <w:tabs>
          <w:tab w:val="left" w:pos="356"/>
        </w:tabs>
        <w:spacing w:before="3" w:line="276" w:lineRule="auto"/>
        <w:ind w:firstLine="43"/>
        <w:jc w:val="both"/>
        <w:rPr>
          <w:sz w:val="18"/>
        </w:rPr>
      </w:pPr>
      <w:r>
        <w:rPr>
          <w:sz w:val="18"/>
        </w:rPr>
        <w:t>Regulation (EU) No 536/2014 of the European Parliament and of the Council</w:t>
      </w:r>
      <w:r>
        <w:rPr>
          <w:spacing w:val="1"/>
          <w:sz w:val="18"/>
        </w:rPr>
        <w:t xml:space="preserve"> </w:t>
      </w:r>
      <w:r>
        <w:rPr>
          <w:sz w:val="18"/>
        </w:rPr>
        <w:t>of 16 April 2014 on clinical trials on medicinal products for human use, and</w:t>
      </w:r>
      <w:r>
        <w:rPr>
          <w:spacing w:val="1"/>
          <w:sz w:val="18"/>
        </w:rPr>
        <w:t xml:space="preserve"> </w:t>
      </w:r>
      <w:r>
        <w:rPr>
          <w:sz w:val="18"/>
        </w:rPr>
        <w:t>repealing</w:t>
      </w:r>
      <w:r>
        <w:rPr>
          <w:spacing w:val="-3"/>
          <w:sz w:val="18"/>
        </w:rPr>
        <w:t xml:space="preserve"> </w:t>
      </w:r>
      <w:r>
        <w:rPr>
          <w:sz w:val="18"/>
        </w:rPr>
        <w:t>Directive</w:t>
      </w:r>
      <w:r>
        <w:rPr>
          <w:spacing w:val="2"/>
          <w:sz w:val="18"/>
        </w:rPr>
        <w:t xml:space="preserve"> </w:t>
      </w:r>
      <w:r>
        <w:rPr>
          <w:sz w:val="18"/>
        </w:rPr>
        <w:t>2001/20/EC.</w:t>
      </w:r>
    </w:p>
    <w:p w:rsidR="00392811" w:rsidRDefault="00A67A08">
      <w:pPr>
        <w:pStyle w:val="ListParagraph"/>
        <w:numPr>
          <w:ilvl w:val="0"/>
          <w:numId w:val="1"/>
        </w:numPr>
        <w:tabs>
          <w:tab w:val="left" w:pos="352"/>
        </w:tabs>
        <w:spacing w:line="276" w:lineRule="auto"/>
        <w:ind w:right="61" w:firstLine="43"/>
        <w:jc w:val="both"/>
        <w:rPr>
          <w:sz w:val="18"/>
        </w:rPr>
      </w:pPr>
      <w:r>
        <w:rPr>
          <w:sz w:val="18"/>
        </w:rPr>
        <w:t>The rules governing m</w:t>
      </w:r>
      <w:r>
        <w:rPr>
          <w:sz w:val="18"/>
        </w:rPr>
        <w:t>edicinal products in the European Union VOLUME 10 –</w:t>
      </w:r>
      <w:r>
        <w:rPr>
          <w:spacing w:val="1"/>
          <w:sz w:val="18"/>
        </w:rPr>
        <w:t xml:space="preserve"> </w:t>
      </w:r>
      <w:r>
        <w:rPr>
          <w:sz w:val="18"/>
        </w:rPr>
        <w:t>Guidance documents applying to clinical trials Clinical Trials Regulation (EU) 5.</w:t>
      </w:r>
      <w:r>
        <w:rPr>
          <w:spacing w:val="1"/>
          <w:sz w:val="18"/>
        </w:rPr>
        <w:t xml:space="preserve"> </w:t>
      </w:r>
      <w:r>
        <w:rPr>
          <w:sz w:val="18"/>
        </w:rPr>
        <w:t>European Medicines Agency. Benefit-risk methodology project Work package 1</w:t>
      </w:r>
      <w:r>
        <w:rPr>
          <w:spacing w:val="1"/>
          <w:sz w:val="18"/>
        </w:rPr>
        <w:t xml:space="preserve"> </w:t>
      </w:r>
      <w:r>
        <w:rPr>
          <w:sz w:val="18"/>
        </w:rPr>
        <w:t>report:</w:t>
      </w:r>
      <w:r>
        <w:rPr>
          <w:spacing w:val="1"/>
          <w:sz w:val="18"/>
        </w:rPr>
        <w:t xml:space="preserve"> </w:t>
      </w:r>
      <w:r>
        <w:rPr>
          <w:sz w:val="18"/>
        </w:rPr>
        <w:t>description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1"/>
          <w:sz w:val="18"/>
        </w:rPr>
        <w:t xml:space="preserve"> </w:t>
      </w:r>
      <w:r>
        <w:rPr>
          <w:sz w:val="18"/>
        </w:rPr>
        <w:t>the</w:t>
      </w:r>
      <w:r>
        <w:rPr>
          <w:spacing w:val="1"/>
          <w:sz w:val="18"/>
        </w:rPr>
        <w:t xml:space="preserve"> </w:t>
      </w:r>
      <w:r>
        <w:rPr>
          <w:sz w:val="18"/>
        </w:rPr>
        <w:t>current</w:t>
      </w:r>
      <w:r>
        <w:rPr>
          <w:spacing w:val="1"/>
          <w:sz w:val="18"/>
        </w:rPr>
        <w:t xml:space="preserve"> </w:t>
      </w:r>
      <w:r>
        <w:rPr>
          <w:sz w:val="18"/>
        </w:rPr>
        <w:t>practice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1"/>
          <w:sz w:val="18"/>
        </w:rPr>
        <w:t xml:space="preserve"> </w:t>
      </w:r>
      <w:r>
        <w:rPr>
          <w:sz w:val="18"/>
        </w:rPr>
        <w:t>benefit-risk</w:t>
      </w:r>
      <w:r>
        <w:rPr>
          <w:spacing w:val="1"/>
          <w:sz w:val="18"/>
        </w:rPr>
        <w:t xml:space="preserve"> </w:t>
      </w:r>
      <w:r>
        <w:rPr>
          <w:sz w:val="18"/>
        </w:rPr>
        <w:t>assessment</w:t>
      </w:r>
      <w:r>
        <w:rPr>
          <w:spacing w:val="1"/>
          <w:sz w:val="18"/>
        </w:rPr>
        <w:t xml:space="preserve"> </w:t>
      </w:r>
      <w:r>
        <w:rPr>
          <w:sz w:val="18"/>
        </w:rPr>
        <w:t>for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centralised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procedure</w:t>
      </w:r>
      <w:r>
        <w:rPr>
          <w:spacing w:val="-2"/>
          <w:sz w:val="18"/>
        </w:rPr>
        <w:t xml:space="preserve"> </w:t>
      </w:r>
      <w:r>
        <w:rPr>
          <w:sz w:val="18"/>
        </w:rPr>
        <w:t>products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EU regulatory</w:t>
      </w:r>
      <w:r>
        <w:rPr>
          <w:spacing w:val="-4"/>
          <w:sz w:val="18"/>
        </w:rPr>
        <w:t xml:space="preserve"> </w:t>
      </w:r>
      <w:r>
        <w:rPr>
          <w:sz w:val="18"/>
        </w:rPr>
        <w:t>network</w:t>
      </w:r>
    </w:p>
    <w:sectPr w:rsidR="00392811">
      <w:type w:val="continuous"/>
      <w:pgSz w:w="11910" w:h="16840"/>
      <w:pgMar w:top="520" w:right="0" w:bottom="280" w:left="400" w:header="720" w:footer="720" w:gutter="0"/>
      <w:cols w:num="2" w:space="720" w:equalWidth="0">
        <w:col w:w="5181" w:space="258"/>
        <w:col w:w="607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altName w:val="Segoe UI"/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737FD"/>
    <w:multiLevelType w:val="hybridMultilevel"/>
    <w:tmpl w:val="667E8D86"/>
    <w:lvl w:ilvl="0" w:tplc="C232AF0E">
      <w:start w:val="1"/>
      <w:numFmt w:val="decimal"/>
      <w:lvlText w:val="%1."/>
      <w:lvlJc w:val="left"/>
      <w:pPr>
        <w:ind w:left="130" w:hanging="139"/>
        <w:jc w:val="left"/>
      </w:pPr>
      <w:rPr>
        <w:rFonts w:ascii="Calibri" w:eastAsia="Calibri" w:hAnsi="Calibri" w:cs="Calibri" w:hint="default"/>
        <w:spacing w:val="-2"/>
        <w:w w:val="101"/>
        <w:sz w:val="16"/>
        <w:szCs w:val="16"/>
        <w:lang w:val="en-US" w:eastAsia="en-US" w:bidi="ar-SA"/>
      </w:rPr>
    </w:lvl>
    <w:lvl w:ilvl="1" w:tplc="5E02E5C8">
      <w:numFmt w:val="bullet"/>
      <w:lvlText w:val="•"/>
      <w:lvlJc w:val="left"/>
      <w:pPr>
        <w:ind w:left="732" w:hanging="139"/>
      </w:pPr>
      <w:rPr>
        <w:rFonts w:hint="default"/>
        <w:lang w:val="en-US" w:eastAsia="en-US" w:bidi="ar-SA"/>
      </w:rPr>
    </w:lvl>
    <w:lvl w:ilvl="2" w:tplc="D7F4507A">
      <w:numFmt w:val="bullet"/>
      <w:lvlText w:val="•"/>
      <w:lvlJc w:val="left"/>
      <w:pPr>
        <w:ind w:left="1325" w:hanging="139"/>
      </w:pPr>
      <w:rPr>
        <w:rFonts w:hint="default"/>
        <w:lang w:val="en-US" w:eastAsia="en-US" w:bidi="ar-SA"/>
      </w:rPr>
    </w:lvl>
    <w:lvl w:ilvl="3" w:tplc="DFA6684A">
      <w:numFmt w:val="bullet"/>
      <w:lvlText w:val="•"/>
      <w:lvlJc w:val="left"/>
      <w:pPr>
        <w:ind w:left="1917" w:hanging="139"/>
      </w:pPr>
      <w:rPr>
        <w:rFonts w:hint="default"/>
        <w:lang w:val="en-US" w:eastAsia="en-US" w:bidi="ar-SA"/>
      </w:rPr>
    </w:lvl>
    <w:lvl w:ilvl="4" w:tplc="48009508">
      <w:numFmt w:val="bullet"/>
      <w:lvlText w:val="•"/>
      <w:lvlJc w:val="left"/>
      <w:pPr>
        <w:ind w:left="2510" w:hanging="139"/>
      </w:pPr>
      <w:rPr>
        <w:rFonts w:hint="default"/>
        <w:lang w:val="en-US" w:eastAsia="en-US" w:bidi="ar-SA"/>
      </w:rPr>
    </w:lvl>
    <w:lvl w:ilvl="5" w:tplc="E084C336">
      <w:numFmt w:val="bullet"/>
      <w:lvlText w:val="•"/>
      <w:lvlJc w:val="left"/>
      <w:pPr>
        <w:ind w:left="3102" w:hanging="139"/>
      </w:pPr>
      <w:rPr>
        <w:rFonts w:hint="default"/>
        <w:lang w:val="en-US" w:eastAsia="en-US" w:bidi="ar-SA"/>
      </w:rPr>
    </w:lvl>
    <w:lvl w:ilvl="6" w:tplc="A29CE16C">
      <w:numFmt w:val="bullet"/>
      <w:lvlText w:val="•"/>
      <w:lvlJc w:val="left"/>
      <w:pPr>
        <w:ind w:left="3695" w:hanging="139"/>
      </w:pPr>
      <w:rPr>
        <w:rFonts w:hint="default"/>
        <w:lang w:val="en-US" w:eastAsia="en-US" w:bidi="ar-SA"/>
      </w:rPr>
    </w:lvl>
    <w:lvl w:ilvl="7" w:tplc="8CFC0C4A">
      <w:numFmt w:val="bullet"/>
      <w:lvlText w:val="•"/>
      <w:lvlJc w:val="left"/>
      <w:pPr>
        <w:ind w:left="4287" w:hanging="139"/>
      </w:pPr>
      <w:rPr>
        <w:rFonts w:hint="default"/>
        <w:lang w:val="en-US" w:eastAsia="en-US" w:bidi="ar-SA"/>
      </w:rPr>
    </w:lvl>
    <w:lvl w:ilvl="8" w:tplc="D4DA4652">
      <w:numFmt w:val="bullet"/>
      <w:lvlText w:val="•"/>
      <w:lvlJc w:val="left"/>
      <w:pPr>
        <w:ind w:left="4880" w:hanging="13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92811"/>
    <w:rsid w:val="00392811"/>
    <w:rsid w:val="00A6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27"/>
      <w:ind w:left="120"/>
      <w:outlineLvl w:val="0"/>
    </w:pPr>
    <w:rPr>
      <w:rFonts w:ascii="Cambria" w:eastAsia="Cambria" w:hAnsi="Cambria" w:cs="Cambria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ind w:left="166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1"/>
      <w:ind w:left="130" w:right="65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" w:line="175" w:lineRule="exac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27"/>
      <w:ind w:left="120"/>
      <w:outlineLvl w:val="0"/>
    </w:pPr>
    <w:rPr>
      <w:rFonts w:ascii="Cambria" w:eastAsia="Cambria" w:hAnsi="Cambria" w:cs="Cambria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ind w:left="166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1"/>
      <w:ind w:left="130" w:right="65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" w:line="175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mailto:haguinesrine@y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haguinesrine@y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2514</Characters>
  <Application>Microsoft Office Word</Application>
  <DocSecurity>0</DocSecurity>
  <Lines>20</Lines>
  <Paragraphs>5</Paragraphs>
  <ScaleCrop>false</ScaleCrop>
  <Company>Microsoft</Company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n.hagui</dc:creator>
  <cp:lastModifiedBy>Industrial Chemistry 2022</cp:lastModifiedBy>
  <cp:revision>2</cp:revision>
  <dcterms:created xsi:type="dcterms:W3CDTF">2023-03-16T04:50:00Z</dcterms:created>
  <dcterms:modified xsi:type="dcterms:W3CDTF">2023-03-16T04:57:00Z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2023-03-16T00:00:00Z</vt:filetime>
  </property>
</Properties>
</file>