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053" w:rsidRPr="001723E0" w:rsidRDefault="006D563D" w:rsidP="001F405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Electrochemical Determination</w:t>
      </w:r>
      <w:r w:rsidR="001F4053" w:rsidRPr="0045136A">
        <w:rPr>
          <w:rFonts w:ascii="Times New Roman" w:hAnsi="Times New Roman" w:cs="Times New Roman"/>
          <w:b/>
          <w:sz w:val="24"/>
          <w:szCs w:val="24"/>
        </w:rPr>
        <w:t xml:space="preserve"> of </w:t>
      </w:r>
      <w:proofErr w:type="spellStart"/>
      <w:r w:rsidR="001F4053" w:rsidRPr="0045136A">
        <w:rPr>
          <w:rFonts w:ascii="Times New Roman" w:hAnsi="Times New Roman" w:cs="Times New Roman"/>
          <w:b/>
          <w:sz w:val="24"/>
          <w:szCs w:val="24"/>
        </w:rPr>
        <w:t>Thiamethoxam</w:t>
      </w:r>
      <w:proofErr w:type="spellEnd"/>
      <w:r w:rsidR="00870FDD">
        <w:rPr>
          <w:rFonts w:ascii="Times New Roman" w:hAnsi="Times New Roman" w:cs="Times New Roman"/>
          <w:b/>
          <w:sz w:val="24"/>
          <w:szCs w:val="24"/>
        </w:rPr>
        <w:t xml:space="preserve"> in Food and Water Samples via</w:t>
      </w:r>
      <w:r w:rsidR="001F4053" w:rsidRPr="0045136A">
        <w:rPr>
          <w:rFonts w:ascii="Times New Roman" w:hAnsi="Times New Roman" w:cs="Times New Roman"/>
          <w:b/>
          <w:sz w:val="24"/>
          <w:szCs w:val="24"/>
        </w:rPr>
        <w:t xml:space="preserve"> on Fe</w:t>
      </w:r>
      <w:r w:rsidR="001F4053" w:rsidRPr="0045136A">
        <w:rPr>
          <w:rFonts w:ascii="Times New Roman" w:hAnsi="Times New Roman" w:cs="Times New Roman"/>
          <w:b/>
          <w:sz w:val="24"/>
          <w:szCs w:val="24"/>
          <w:vertAlign w:val="subscript"/>
        </w:rPr>
        <w:t>2</w:t>
      </w:r>
      <w:r w:rsidR="001F4053" w:rsidRPr="0045136A">
        <w:rPr>
          <w:rFonts w:ascii="Times New Roman" w:hAnsi="Times New Roman" w:cs="Times New Roman"/>
          <w:b/>
          <w:sz w:val="24"/>
          <w:szCs w:val="24"/>
        </w:rPr>
        <w:t>O</w:t>
      </w:r>
      <w:r w:rsidR="001F4053" w:rsidRPr="0045136A">
        <w:rPr>
          <w:rFonts w:ascii="Times New Roman" w:hAnsi="Times New Roman" w:cs="Times New Roman"/>
          <w:b/>
          <w:sz w:val="24"/>
          <w:szCs w:val="24"/>
          <w:vertAlign w:val="subscript"/>
        </w:rPr>
        <w:t>3</w:t>
      </w:r>
      <w:r w:rsidR="001723E0">
        <w:rPr>
          <w:rFonts w:ascii="Times New Roman" w:hAnsi="Times New Roman" w:cs="Times New Roman"/>
          <w:b/>
          <w:sz w:val="24"/>
          <w:szCs w:val="24"/>
          <w:vertAlign w:val="subscript"/>
        </w:rPr>
        <w:t xml:space="preserve"> </w:t>
      </w:r>
      <w:r w:rsidR="00162C67">
        <w:rPr>
          <w:rFonts w:ascii="Times New Roman" w:hAnsi="Times New Roman" w:cs="Times New Roman"/>
          <w:b/>
          <w:sz w:val="24"/>
          <w:szCs w:val="24"/>
        </w:rPr>
        <w:t>-</w:t>
      </w:r>
      <w:r w:rsidR="001F4053" w:rsidRPr="0045136A">
        <w:rPr>
          <w:rFonts w:ascii="Times New Roman" w:hAnsi="Times New Roman" w:cs="Times New Roman"/>
          <w:b/>
          <w:sz w:val="24"/>
          <w:szCs w:val="24"/>
        </w:rPr>
        <w:t xml:space="preserve">melamine Schiff base </w:t>
      </w:r>
      <w:r w:rsidR="001723E0">
        <w:rPr>
          <w:rFonts w:ascii="Times New Roman" w:hAnsi="Times New Roman" w:cs="Times New Roman"/>
          <w:b/>
          <w:sz w:val="24"/>
          <w:szCs w:val="24"/>
        </w:rPr>
        <w:t>derived g-C</w:t>
      </w:r>
      <w:r w:rsidR="001723E0">
        <w:rPr>
          <w:rFonts w:ascii="Times New Roman" w:hAnsi="Times New Roman" w:cs="Times New Roman"/>
          <w:b/>
          <w:sz w:val="24"/>
          <w:szCs w:val="24"/>
          <w:vertAlign w:val="subscript"/>
        </w:rPr>
        <w:t>3</w:t>
      </w:r>
      <w:r w:rsidR="001723E0">
        <w:rPr>
          <w:rFonts w:ascii="Times New Roman" w:hAnsi="Times New Roman" w:cs="Times New Roman"/>
          <w:b/>
          <w:sz w:val="24"/>
          <w:szCs w:val="24"/>
        </w:rPr>
        <w:t>N</w:t>
      </w:r>
      <w:r w:rsidR="001723E0">
        <w:rPr>
          <w:rFonts w:ascii="Times New Roman" w:hAnsi="Times New Roman" w:cs="Times New Roman"/>
          <w:b/>
          <w:sz w:val="24"/>
          <w:szCs w:val="24"/>
          <w:vertAlign w:val="subscript"/>
        </w:rPr>
        <w:t xml:space="preserve">4 </w:t>
      </w:r>
      <w:r w:rsidR="001723E0">
        <w:rPr>
          <w:rFonts w:ascii="Times New Roman" w:hAnsi="Times New Roman" w:cs="Times New Roman"/>
          <w:b/>
          <w:sz w:val="24"/>
          <w:szCs w:val="24"/>
        </w:rPr>
        <w:t>composite</w:t>
      </w:r>
    </w:p>
    <w:p w:rsidR="00EC6901" w:rsidRPr="001F4053" w:rsidRDefault="00EC6901" w:rsidP="001F4053">
      <w:pPr>
        <w:spacing w:line="276" w:lineRule="auto"/>
        <w:jc w:val="center"/>
        <w:rPr>
          <w:rFonts w:ascii="Times New Roman" w:hAnsi="Times New Roman" w:cs="Times New Roman"/>
          <w:vertAlign w:val="superscript"/>
        </w:rPr>
      </w:pPr>
      <w:proofErr w:type="spellStart"/>
      <w:r w:rsidRPr="00141856">
        <w:rPr>
          <w:rFonts w:ascii="Times New Roman" w:hAnsi="Times New Roman" w:cs="Times New Roman"/>
          <w:u w:val="single"/>
        </w:rPr>
        <w:t>Atul</w:t>
      </w:r>
      <w:proofErr w:type="spellEnd"/>
      <w:r w:rsidRPr="00141856">
        <w:rPr>
          <w:rFonts w:ascii="Times New Roman" w:hAnsi="Times New Roman" w:cs="Times New Roman"/>
          <w:u w:val="single"/>
        </w:rPr>
        <w:t xml:space="preserve"> Kapoor</w:t>
      </w:r>
      <w:r w:rsidRPr="001F4053">
        <w:rPr>
          <w:rFonts w:ascii="Times New Roman" w:hAnsi="Times New Roman" w:cs="Times New Roman"/>
          <w:vertAlign w:val="superscript"/>
        </w:rPr>
        <w:t>*</w:t>
      </w:r>
      <w:r w:rsidRPr="001F4053">
        <w:rPr>
          <w:rFonts w:ascii="Times New Roman" w:hAnsi="Times New Roman" w:cs="Times New Roman"/>
        </w:rPr>
        <w:t>, Jaspreet Kaur Rajput</w:t>
      </w:r>
      <w:r w:rsidR="00F56866">
        <w:rPr>
          <w:rFonts w:ascii="Times New Roman" w:hAnsi="Times New Roman" w:cs="Times New Roman"/>
        </w:rPr>
        <w:t xml:space="preserve">    </w:t>
      </w:r>
      <w:bookmarkStart w:id="0" w:name="_GoBack"/>
      <w:bookmarkEnd w:id="0"/>
    </w:p>
    <w:p w:rsidR="00EC6901" w:rsidRPr="00141856" w:rsidRDefault="00EC6901" w:rsidP="001F4053">
      <w:pPr>
        <w:spacing w:after="0" w:line="276" w:lineRule="auto"/>
        <w:jc w:val="center"/>
        <w:rPr>
          <w:rFonts w:ascii="Times New Roman" w:hAnsi="Times New Roman" w:cs="Times New Roman"/>
          <w:i/>
        </w:rPr>
      </w:pPr>
      <w:r w:rsidRPr="00141856">
        <w:rPr>
          <w:rFonts w:ascii="Times New Roman" w:hAnsi="Times New Roman" w:cs="Times New Roman"/>
          <w:i/>
        </w:rPr>
        <w:t>Department of Chemistry,</w:t>
      </w:r>
    </w:p>
    <w:p w:rsidR="00EC6901" w:rsidRPr="00141856" w:rsidRDefault="00EC6901" w:rsidP="001F4053">
      <w:pPr>
        <w:spacing w:after="0" w:line="276" w:lineRule="auto"/>
        <w:jc w:val="center"/>
        <w:rPr>
          <w:rFonts w:ascii="Times New Roman" w:hAnsi="Times New Roman" w:cs="Times New Roman"/>
          <w:i/>
        </w:rPr>
      </w:pPr>
      <w:r w:rsidRPr="00141856">
        <w:rPr>
          <w:rFonts w:ascii="Times New Roman" w:hAnsi="Times New Roman" w:cs="Times New Roman"/>
          <w:i/>
        </w:rPr>
        <w:t xml:space="preserve"> Dr. B.R </w:t>
      </w:r>
      <w:proofErr w:type="spellStart"/>
      <w:r w:rsidRPr="00141856">
        <w:rPr>
          <w:rFonts w:ascii="Times New Roman" w:hAnsi="Times New Roman" w:cs="Times New Roman"/>
          <w:i/>
        </w:rPr>
        <w:t>Ambedkar</w:t>
      </w:r>
      <w:proofErr w:type="spellEnd"/>
      <w:r w:rsidRPr="00141856">
        <w:rPr>
          <w:rFonts w:ascii="Times New Roman" w:hAnsi="Times New Roman" w:cs="Times New Roman"/>
          <w:i/>
        </w:rPr>
        <w:t xml:space="preserve"> National Institute of Technology, Jalandhar-144011, Punjab, India.</w:t>
      </w:r>
    </w:p>
    <w:p w:rsidR="00EC6901" w:rsidRPr="001F4053" w:rsidRDefault="00EC6901" w:rsidP="001F4053">
      <w:pPr>
        <w:spacing w:after="0" w:line="276" w:lineRule="auto"/>
        <w:jc w:val="center"/>
        <w:rPr>
          <w:rFonts w:ascii="Times New Roman" w:hAnsi="Times New Roman" w:cs="Times New Roman"/>
          <w:color w:val="222222"/>
          <w:shd w:val="clear" w:color="auto" w:fill="FFFFFF"/>
        </w:rPr>
      </w:pPr>
      <w:r w:rsidRPr="001F4053">
        <w:rPr>
          <w:rFonts w:ascii="Times New Roman" w:hAnsi="Times New Roman" w:cs="Times New Roman"/>
          <w:color w:val="222222"/>
          <w:shd w:val="clear" w:color="auto" w:fill="FFFFFF"/>
        </w:rPr>
        <w:t xml:space="preserve">Email: </w:t>
      </w:r>
      <w:hyperlink r:id="rId6" w:history="1">
        <w:r w:rsidRPr="001F4053">
          <w:rPr>
            <w:rStyle w:val="Hyperlink"/>
            <w:rFonts w:ascii="Times New Roman" w:hAnsi="Times New Roman" w:cs="Times New Roman"/>
            <w:shd w:val="clear" w:color="auto" w:fill="FFFFFF"/>
          </w:rPr>
          <w:t>atulkapoork@yahoo.in</w:t>
        </w:r>
      </w:hyperlink>
    </w:p>
    <w:p w:rsidR="00EC6901" w:rsidRPr="006D563D" w:rsidRDefault="00EC6901" w:rsidP="00EC6901">
      <w:pPr>
        <w:spacing w:line="360" w:lineRule="auto"/>
        <w:jc w:val="both"/>
        <w:rPr>
          <w:rFonts w:ascii="Times New Roman" w:hAnsi="Times New Roman" w:cs="Times New Roman"/>
          <w:b/>
          <w:sz w:val="24"/>
          <w:szCs w:val="26"/>
        </w:rPr>
      </w:pPr>
      <w:r w:rsidRPr="006D563D">
        <w:rPr>
          <w:rFonts w:ascii="Times New Roman" w:hAnsi="Times New Roman" w:cs="Times New Roman"/>
          <w:b/>
          <w:sz w:val="24"/>
          <w:szCs w:val="26"/>
        </w:rPr>
        <w:t>Abstract</w:t>
      </w:r>
    </w:p>
    <w:p w:rsidR="0074365E" w:rsidRPr="0045136A" w:rsidRDefault="001F4053" w:rsidP="00EC6901">
      <w:pPr>
        <w:spacing w:line="360" w:lineRule="auto"/>
        <w:jc w:val="both"/>
        <w:rPr>
          <w:rFonts w:ascii="Times New Roman" w:hAnsi="Times New Roman" w:cs="Times New Roman"/>
        </w:rPr>
      </w:pPr>
      <w:proofErr w:type="spellStart"/>
      <w:r w:rsidRPr="0045136A">
        <w:rPr>
          <w:rFonts w:ascii="Times New Roman" w:hAnsi="Times New Roman" w:cs="Times New Roman"/>
        </w:rPr>
        <w:t>Thiamethoxam</w:t>
      </w:r>
      <w:proofErr w:type="spellEnd"/>
      <w:r w:rsidRPr="0045136A">
        <w:rPr>
          <w:rFonts w:ascii="Times New Roman" w:hAnsi="Times New Roman" w:cs="Times New Roman"/>
        </w:rPr>
        <w:t xml:space="preserve"> (TMX), a class of neonicotinoid pesticide is broadly utilized in agronomy. Because of their high solubility in water, TMX can be transported to surface waters and can possibly be poisonous to human and aquatic existence. </w:t>
      </w:r>
      <w:r w:rsidR="00EC6901" w:rsidRPr="0045136A">
        <w:rPr>
          <w:rFonts w:ascii="Times New Roman" w:hAnsi="Times New Roman" w:cs="Times New Roman"/>
        </w:rPr>
        <w:t xml:space="preserve">The current study reported the synthesis </w:t>
      </w:r>
      <w:r w:rsidR="00EC6901" w:rsidRPr="00162C67">
        <w:rPr>
          <w:rFonts w:ascii="Times New Roman" w:hAnsi="Times New Roman" w:cs="Times New Roman"/>
        </w:rPr>
        <w:t xml:space="preserve">of </w:t>
      </w:r>
      <w:r w:rsidR="00162C67" w:rsidRPr="00162C67">
        <w:rPr>
          <w:rFonts w:ascii="Times New Roman" w:hAnsi="Times New Roman" w:cs="Times New Roman"/>
        </w:rPr>
        <w:t>Fe</w:t>
      </w:r>
      <w:r w:rsidR="00162C67" w:rsidRPr="00162C67">
        <w:rPr>
          <w:rFonts w:ascii="Times New Roman" w:hAnsi="Times New Roman" w:cs="Times New Roman"/>
          <w:vertAlign w:val="subscript"/>
        </w:rPr>
        <w:t>2</w:t>
      </w:r>
      <w:r w:rsidR="00162C67" w:rsidRPr="00162C67">
        <w:rPr>
          <w:rFonts w:ascii="Times New Roman" w:hAnsi="Times New Roman" w:cs="Times New Roman"/>
        </w:rPr>
        <w:t>O</w:t>
      </w:r>
      <w:r w:rsidR="00162C67" w:rsidRPr="00162C67">
        <w:rPr>
          <w:rFonts w:ascii="Times New Roman" w:hAnsi="Times New Roman" w:cs="Times New Roman"/>
          <w:vertAlign w:val="subscript"/>
        </w:rPr>
        <w:t xml:space="preserve">3 </w:t>
      </w:r>
      <w:r w:rsidR="00162C67" w:rsidRPr="00162C67">
        <w:rPr>
          <w:rFonts w:ascii="Times New Roman" w:hAnsi="Times New Roman" w:cs="Times New Roman"/>
        </w:rPr>
        <w:t>-melamine Schiff base derived g-C</w:t>
      </w:r>
      <w:r w:rsidR="00162C67" w:rsidRPr="00162C67">
        <w:rPr>
          <w:rFonts w:ascii="Times New Roman" w:hAnsi="Times New Roman" w:cs="Times New Roman"/>
          <w:vertAlign w:val="subscript"/>
        </w:rPr>
        <w:t>3</w:t>
      </w:r>
      <w:r w:rsidR="00162C67" w:rsidRPr="00162C67">
        <w:rPr>
          <w:rFonts w:ascii="Times New Roman" w:hAnsi="Times New Roman" w:cs="Times New Roman"/>
        </w:rPr>
        <w:t>N</w:t>
      </w:r>
      <w:r w:rsidR="00162C67" w:rsidRPr="00162C67">
        <w:rPr>
          <w:rFonts w:ascii="Times New Roman" w:hAnsi="Times New Roman" w:cs="Times New Roman"/>
          <w:vertAlign w:val="subscript"/>
        </w:rPr>
        <w:t xml:space="preserve">4 </w:t>
      </w:r>
      <w:r w:rsidR="00EC6901" w:rsidRPr="00162C67">
        <w:rPr>
          <w:rFonts w:ascii="Times New Roman" w:hAnsi="Times New Roman" w:cs="Times New Roman"/>
        </w:rPr>
        <w:t>via a facile and effective methodology. The prepared composi</w:t>
      </w:r>
      <w:r w:rsidR="00EC6901" w:rsidRPr="0045136A">
        <w:rPr>
          <w:rFonts w:ascii="Times New Roman" w:hAnsi="Times New Roman" w:cs="Times New Roman"/>
        </w:rPr>
        <w:t xml:space="preserve">te was well characterized by diverse characterization techniques like Powder X-ray diffraction (XRD), Fourier transformation infrared spectroscopy (FTIR), X-ray photoelectron spectroscopy (XPS), </w:t>
      </w:r>
      <w:proofErr w:type="spellStart"/>
      <w:r w:rsidR="00EC6901" w:rsidRPr="0045136A">
        <w:rPr>
          <w:rFonts w:ascii="Times New Roman" w:hAnsi="Times New Roman" w:cs="Times New Roman"/>
        </w:rPr>
        <w:t>Brunauer</w:t>
      </w:r>
      <w:proofErr w:type="spellEnd"/>
      <w:r w:rsidR="00EC6901" w:rsidRPr="0045136A">
        <w:rPr>
          <w:rFonts w:ascii="Times New Roman" w:hAnsi="Times New Roman" w:cs="Times New Roman"/>
        </w:rPr>
        <w:t>, Emmett and Teller (BET), Field emission scanning electron microscopy (FESEM) with energy dispersive spectrometry (EDS) mapping, High-resolution transmission electron microscopy (HRTEM) and UV Visible spectrophotometer, which depicted the formation of desired pure composite materia</w:t>
      </w:r>
      <w:r w:rsidR="00EC6901" w:rsidRPr="00162C67">
        <w:rPr>
          <w:rFonts w:ascii="Times New Roman" w:hAnsi="Times New Roman" w:cs="Times New Roman"/>
        </w:rPr>
        <w:t xml:space="preserve">l. Further, the prepared </w:t>
      </w:r>
      <w:r w:rsidR="00162C67" w:rsidRPr="00162C67">
        <w:rPr>
          <w:rFonts w:ascii="Times New Roman" w:hAnsi="Times New Roman" w:cs="Times New Roman"/>
        </w:rPr>
        <w:t>Fe</w:t>
      </w:r>
      <w:r w:rsidR="00162C67" w:rsidRPr="00162C67">
        <w:rPr>
          <w:rFonts w:ascii="Times New Roman" w:hAnsi="Times New Roman" w:cs="Times New Roman"/>
          <w:vertAlign w:val="subscript"/>
        </w:rPr>
        <w:t>2</w:t>
      </w:r>
      <w:r w:rsidR="00162C67" w:rsidRPr="00162C67">
        <w:rPr>
          <w:rFonts w:ascii="Times New Roman" w:hAnsi="Times New Roman" w:cs="Times New Roman"/>
        </w:rPr>
        <w:t>O</w:t>
      </w:r>
      <w:r w:rsidR="00162C67" w:rsidRPr="00162C67">
        <w:rPr>
          <w:rFonts w:ascii="Times New Roman" w:hAnsi="Times New Roman" w:cs="Times New Roman"/>
          <w:vertAlign w:val="subscript"/>
        </w:rPr>
        <w:t xml:space="preserve">3 </w:t>
      </w:r>
      <w:r w:rsidR="00162C67" w:rsidRPr="00162C67">
        <w:rPr>
          <w:rFonts w:ascii="Times New Roman" w:hAnsi="Times New Roman" w:cs="Times New Roman"/>
        </w:rPr>
        <w:t>-melamine Schiff base derived g-C</w:t>
      </w:r>
      <w:r w:rsidR="00162C67" w:rsidRPr="00162C67">
        <w:rPr>
          <w:rFonts w:ascii="Times New Roman" w:hAnsi="Times New Roman" w:cs="Times New Roman"/>
          <w:vertAlign w:val="subscript"/>
        </w:rPr>
        <w:t>3</w:t>
      </w:r>
      <w:r w:rsidR="00162C67" w:rsidRPr="00162C67">
        <w:rPr>
          <w:rFonts w:ascii="Times New Roman" w:hAnsi="Times New Roman" w:cs="Times New Roman"/>
        </w:rPr>
        <w:t>N</w:t>
      </w:r>
      <w:r w:rsidR="00162C67" w:rsidRPr="00162C67">
        <w:rPr>
          <w:rFonts w:ascii="Times New Roman" w:hAnsi="Times New Roman" w:cs="Times New Roman"/>
          <w:vertAlign w:val="subscript"/>
        </w:rPr>
        <w:t>4</w:t>
      </w:r>
      <w:r w:rsidR="00EC6901" w:rsidRPr="00162C67">
        <w:rPr>
          <w:rFonts w:ascii="Times New Roman" w:hAnsi="Times New Roman" w:cs="Times New Roman"/>
        </w:rPr>
        <w:t xml:space="preserve"> </w:t>
      </w:r>
      <w:r w:rsidR="00EC6901" w:rsidRPr="0045136A">
        <w:rPr>
          <w:rFonts w:ascii="Times New Roman" w:hAnsi="Times New Roman" w:cs="Times New Roman"/>
        </w:rPr>
        <w:t>modified glassy carbon electrode (GCE) was applied for</w:t>
      </w:r>
      <w:r w:rsidRPr="0045136A">
        <w:rPr>
          <w:rFonts w:ascii="Times New Roman" w:hAnsi="Times New Roman" w:cs="Times New Roman"/>
        </w:rPr>
        <w:t xml:space="preserve"> the detection of TMX</w:t>
      </w:r>
      <w:r w:rsidR="00EC6901" w:rsidRPr="0045136A">
        <w:rPr>
          <w:rFonts w:ascii="Times New Roman" w:hAnsi="Times New Roman" w:cs="Times New Roman"/>
        </w:rPr>
        <w:t xml:space="preserve">, a class of neonicotinoid pesticide. Additionally, the influence of numerous parameters such as the amount of electroactive material loaded, pH of the solution, accumulation temperature, and accumulation time was also studied to achieve efficient detection. Furthermore, the cyclic voltammetry (CV) and linear sweep voltammetry (LSV) revealed that the fabricated composite acts as an excellent sensor for the electrochemical determination of TMX and attained a very low limit of detection (0.137 µM / 39 ppb) with a broad linear range of 0.01–200.00 µM. Further, to evaluate the stability of the designed sensor; the prepared </w:t>
      </w:r>
      <w:r w:rsidR="00A94F02" w:rsidRPr="00162C67">
        <w:rPr>
          <w:rFonts w:ascii="Times New Roman" w:hAnsi="Times New Roman" w:cs="Times New Roman"/>
        </w:rPr>
        <w:t>Fe</w:t>
      </w:r>
      <w:r w:rsidR="00A94F02" w:rsidRPr="00162C67">
        <w:rPr>
          <w:rFonts w:ascii="Times New Roman" w:hAnsi="Times New Roman" w:cs="Times New Roman"/>
          <w:vertAlign w:val="subscript"/>
        </w:rPr>
        <w:t>2</w:t>
      </w:r>
      <w:r w:rsidR="00A94F02" w:rsidRPr="00162C67">
        <w:rPr>
          <w:rFonts w:ascii="Times New Roman" w:hAnsi="Times New Roman" w:cs="Times New Roman"/>
        </w:rPr>
        <w:t>O</w:t>
      </w:r>
      <w:r w:rsidR="00A94F02" w:rsidRPr="00162C67">
        <w:rPr>
          <w:rFonts w:ascii="Times New Roman" w:hAnsi="Times New Roman" w:cs="Times New Roman"/>
          <w:vertAlign w:val="subscript"/>
        </w:rPr>
        <w:t xml:space="preserve">3 </w:t>
      </w:r>
      <w:r w:rsidR="00A94F02" w:rsidRPr="00162C67">
        <w:rPr>
          <w:rFonts w:ascii="Times New Roman" w:hAnsi="Times New Roman" w:cs="Times New Roman"/>
        </w:rPr>
        <w:t>-melamine Schiff base derived g-C</w:t>
      </w:r>
      <w:r w:rsidR="00A94F02" w:rsidRPr="00162C67">
        <w:rPr>
          <w:rFonts w:ascii="Times New Roman" w:hAnsi="Times New Roman" w:cs="Times New Roman"/>
          <w:vertAlign w:val="subscript"/>
        </w:rPr>
        <w:t>3</w:t>
      </w:r>
      <w:r w:rsidR="00A94F02" w:rsidRPr="00162C67">
        <w:rPr>
          <w:rFonts w:ascii="Times New Roman" w:hAnsi="Times New Roman" w:cs="Times New Roman"/>
        </w:rPr>
        <w:t>N</w:t>
      </w:r>
      <w:r w:rsidR="00A94F02" w:rsidRPr="00162C67">
        <w:rPr>
          <w:rFonts w:ascii="Times New Roman" w:hAnsi="Times New Roman" w:cs="Times New Roman"/>
          <w:vertAlign w:val="subscript"/>
        </w:rPr>
        <w:t>4</w:t>
      </w:r>
      <w:r w:rsidR="00A94F02" w:rsidRPr="00162C67">
        <w:rPr>
          <w:rFonts w:ascii="Times New Roman" w:hAnsi="Times New Roman" w:cs="Times New Roman"/>
        </w:rPr>
        <w:t xml:space="preserve"> </w:t>
      </w:r>
      <w:r w:rsidR="00EC6901" w:rsidRPr="0045136A">
        <w:rPr>
          <w:rFonts w:ascii="Times New Roman" w:hAnsi="Times New Roman" w:cs="Times New Roman"/>
        </w:rPr>
        <w:t>was also coated on the screen-printed electrode and the electrochemical experiment was performed by it for a period of 30 days. It was depicted that the proposed sensor afforded satisfactory stability, reproducibility as well as repeatability for TMX detection. Moreover, the current work also offers a promising approach for the electrochemical detection of TMX in real samples like potato, rice, and river water.</w:t>
      </w:r>
    </w:p>
    <w:p w:rsidR="0045136A" w:rsidRPr="0045136A" w:rsidRDefault="0045136A" w:rsidP="00EC6901">
      <w:pPr>
        <w:spacing w:line="360" w:lineRule="auto"/>
        <w:jc w:val="both"/>
        <w:rPr>
          <w:rFonts w:ascii="Times New Roman" w:hAnsi="Times New Roman" w:cs="Times New Roman"/>
          <w:b/>
          <w:i/>
          <w:sz w:val="24"/>
          <w:szCs w:val="24"/>
        </w:rPr>
      </w:pPr>
      <w:r w:rsidRPr="0045136A">
        <w:rPr>
          <w:rFonts w:ascii="Times New Roman" w:hAnsi="Times New Roman" w:cs="Times New Roman"/>
          <w:b/>
          <w:i/>
          <w:sz w:val="24"/>
          <w:szCs w:val="24"/>
        </w:rPr>
        <w:t>Reference</w:t>
      </w:r>
      <w:r>
        <w:rPr>
          <w:rFonts w:ascii="Times New Roman" w:hAnsi="Times New Roman" w:cs="Times New Roman"/>
          <w:b/>
          <w:i/>
          <w:sz w:val="24"/>
          <w:szCs w:val="24"/>
        </w:rPr>
        <w:t>s</w:t>
      </w:r>
    </w:p>
    <w:p w:rsidR="0045136A" w:rsidRPr="003F56D6" w:rsidRDefault="0045136A" w:rsidP="0045136A">
      <w:pPr>
        <w:pStyle w:val="ListParagraph"/>
        <w:numPr>
          <w:ilvl w:val="0"/>
          <w:numId w:val="1"/>
        </w:numPr>
        <w:spacing w:line="360" w:lineRule="auto"/>
        <w:ind w:left="360"/>
        <w:jc w:val="both"/>
        <w:rPr>
          <w:rFonts w:ascii="Times New Roman" w:hAnsi="Times New Roman" w:cs="Times New Roman"/>
        </w:rPr>
      </w:pPr>
      <w:r w:rsidRPr="003F56D6">
        <w:rPr>
          <w:rFonts w:ascii="Times New Roman" w:hAnsi="Times New Roman" w:cs="Times New Roman"/>
          <w:noProof/>
        </w:rPr>
        <w:t xml:space="preserve">Robinson, S. A. </w:t>
      </w:r>
      <w:r w:rsidRPr="003F56D6">
        <w:rPr>
          <w:rFonts w:ascii="Times New Roman" w:hAnsi="Times New Roman" w:cs="Times New Roman"/>
          <w:i/>
          <w:iCs/>
          <w:noProof/>
        </w:rPr>
        <w:t>et al.</w:t>
      </w:r>
      <w:r w:rsidRPr="003F56D6">
        <w:rPr>
          <w:rFonts w:ascii="Times New Roman" w:hAnsi="Times New Roman" w:cs="Times New Roman"/>
          <w:noProof/>
        </w:rPr>
        <w:t xml:space="preserve"> Assessment of Sublethal Effects of Neonicotinoid Insecticides on the Life-History Traits of 2 Frog Species. </w:t>
      </w:r>
      <w:r w:rsidRPr="003F56D6">
        <w:rPr>
          <w:rFonts w:ascii="Times New Roman" w:hAnsi="Times New Roman" w:cs="Times New Roman"/>
          <w:i/>
          <w:iCs/>
          <w:noProof/>
        </w:rPr>
        <w:t>Environ. Toxicol. Chem.</w:t>
      </w:r>
      <w:r w:rsidRPr="003F56D6">
        <w:rPr>
          <w:rFonts w:ascii="Times New Roman" w:hAnsi="Times New Roman" w:cs="Times New Roman"/>
          <w:noProof/>
        </w:rPr>
        <w:t xml:space="preserve"> </w:t>
      </w:r>
      <w:r w:rsidRPr="003F56D6">
        <w:rPr>
          <w:rFonts w:ascii="Times New Roman" w:hAnsi="Times New Roman" w:cs="Times New Roman"/>
          <w:b/>
          <w:bCs/>
          <w:noProof/>
        </w:rPr>
        <w:t>38</w:t>
      </w:r>
      <w:r w:rsidRPr="003F56D6">
        <w:rPr>
          <w:rFonts w:ascii="Times New Roman" w:hAnsi="Times New Roman" w:cs="Times New Roman"/>
          <w:noProof/>
        </w:rPr>
        <w:t>, 1967–1977 (2019).</w:t>
      </w:r>
    </w:p>
    <w:p w:rsidR="0045136A" w:rsidRPr="003F56D6" w:rsidRDefault="0045136A" w:rsidP="0045136A">
      <w:pPr>
        <w:pStyle w:val="ListParagraph"/>
        <w:numPr>
          <w:ilvl w:val="0"/>
          <w:numId w:val="1"/>
        </w:numPr>
        <w:spacing w:line="360" w:lineRule="auto"/>
        <w:ind w:left="360"/>
        <w:jc w:val="both"/>
        <w:rPr>
          <w:rFonts w:ascii="Times New Roman" w:hAnsi="Times New Roman" w:cs="Times New Roman"/>
        </w:rPr>
      </w:pPr>
      <w:r w:rsidRPr="003F56D6">
        <w:rPr>
          <w:rFonts w:ascii="Times New Roman" w:hAnsi="Times New Roman" w:cs="Times New Roman"/>
          <w:noProof/>
        </w:rPr>
        <w:lastRenderedPageBreak/>
        <w:t xml:space="preserve">Raby, M. </w:t>
      </w:r>
      <w:r w:rsidRPr="003F56D6">
        <w:rPr>
          <w:rFonts w:ascii="Times New Roman" w:hAnsi="Times New Roman" w:cs="Times New Roman"/>
          <w:i/>
          <w:iCs/>
          <w:noProof/>
        </w:rPr>
        <w:t>et al.</w:t>
      </w:r>
      <w:r w:rsidRPr="003F56D6">
        <w:rPr>
          <w:rFonts w:ascii="Times New Roman" w:hAnsi="Times New Roman" w:cs="Times New Roman"/>
          <w:noProof/>
        </w:rPr>
        <w:t xml:space="preserve"> Acute toxicity of 6 neonicotinoid insecticides to freshwater invertebrates. </w:t>
      </w:r>
      <w:r w:rsidRPr="003F56D6">
        <w:rPr>
          <w:rFonts w:ascii="Times New Roman" w:hAnsi="Times New Roman" w:cs="Times New Roman"/>
          <w:i/>
          <w:iCs/>
          <w:noProof/>
        </w:rPr>
        <w:t>Environ. Toxicol. Chem.</w:t>
      </w:r>
      <w:r w:rsidRPr="003F56D6">
        <w:rPr>
          <w:rFonts w:ascii="Times New Roman" w:hAnsi="Times New Roman" w:cs="Times New Roman"/>
          <w:noProof/>
        </w:rPr>
        <w:t xml:space="preserve"> </w:t>
      </w:r>
      <w:r w:rsidRPr="003F56D6">
        <w:rPr>
          <w:rFonts w:ascii="Times New Roman" w:hAnsi="Times New Roman" w:cs="Times New Roman"/>
          <w:b/>
          <w:bCs/>
          <w:noProof/>
        </w:rPr>
        <w:t>37</w:t>
      </w:r>
      <w:r w:rsidRPr="003F56D6">
        <w:rPr>
          <w:rFonts w:ascii="Times New Roman" w:hAnsi="Times New Roman" w:cs="Times New Roman"/>
          <w:noProof/>
        </w:rPr>
        <w:t>, 1430–1445 (2018).</w:t>
      </w:r>
    </w:p>
    <w:p w:rsidR="0045136A" w:rsidRPr="003F56D6" w:rsidRDefault="0045136A" w:rsidP="0045136A">
      <w:pPr>
        <w:pStyle w:val="ListParagraph"/>
        <w:numPr>
          <w:ilvl w:val="0"/>
          <w:numId w:val="1"/>
        </w:numPr>
        <w:spacing w:line="360" w:lineRule="auto"/>
        <w:ind w:left="360"/>
        <w:jc w:val="both"/>
        <w:rPr>
          <w:rFonts w:ascii="Times New Roman" w:hAnsi="Times New Roman" w:cs="Times New Roman"/>
        </w:rPr>
      </w:pPr>
      <w:r w:rsidRPr="003F56D6">
        <w:rPr>
          <w:rFonts w:ascii="Times New Roman" w:hAnsi="Times New Roman" w:cs="Times New Roman"/>
          <w:noProof/>
        </w:rPr>
        <w:t xml:space="preserve">Costa, F. P., Caldas, S. S. &amp; Primel, E. G. Comparison of QuEChERS sample preparation methods for the analysis of pesticide  residues in canned and fresh peach. </w:t>
      </w:r>
      <w:r w:rsidRPr="003F56D6">
        <w:rPr>
          <w:rFonts w:ascii="Times New Roman" w:hAnsi="Times New Roman" w:cs="Times New Roman"/>
          <w:i/>
          <w:iCs/>
          <w:noProof/>
        </w:rPr>
        <w:t>Food Chem.</w:t>
      </w:r>
      <w:r w:rsidRPr="003F56D6">
        <w:rPr>
          <w:rFonts w:ascii="Times New Roman" w:hAnsi="Times New Roman" w:cs="Times New Roman"/>
          <w:noProof/>
        </w:rPr>
        <w:t xml:space="preserve"> </w:t>
      </w:r>
      <w:r w:rsidRPr="003F56D6">
        <w:rPr>
          <w:rFonts w:ascii="Times New Roman" w:hAnsi="Times New Roman" w:cs="Times New Roman"/>
          <w:b/>
          <w:bCs/>
          <w:noProof/>
        </w:rPr>
        <w:t>165</w:t>
      </w:r>
      <w:r w:rsidRPr="003F56D6">
        <w:rPr>
          <w:rFonts w:ascii="Times New Roman" w:hAnsi="Times New Roman" w:cs="Times New Roman"/>
          <w:noProof/>
        </w:rPr>
        <w:t>, 587–593 (2014).</w:t>
      </w:r>
    </w:p>
    <w:p w:rsidR="0045136A" w:rsidRPr="003F56D6" w:rsidRDefault="0045136A" w:rsidP="0045136A">
      <w:pPr>
        <w:pStyle w:val="ListParagraph"/>
        <w:widowControl w:val="0"/>
        <w:numPr>
          <w:ilvl w:val="0"/>
          <w:numId w:val="1"/>
        </w:numPr>
        <w:autoSpaceDE w:val="0"/>
        <w:autoSpaceDN w:val="0"/>
        <w:adjustRightInd w:val="0"/>
        <w:spacing w:line="360" w:lineRule="auto"/>
        <w:ind w:left="360"/>
        <w:rPr>
          <w:rFonts w:ascii="Times New Roman" w:hAnsi="Times New Roman" w:cs="Times New Roman"/>
          <w:noProof/>
        </w:rPr>
      </w:pPr>
      <w:r w:rsidRPr="003F56D6">
        <w:rPr>
          <w:rFonts w:ascii="Times New Roman" w:hAnsi="Times New Roman" w:cs="Times New Roman"/>
          <w:noProof/>
        </w:rPr>
        <w:t xml:space="preserve">Đurović, A. </w:t>
      </w:r>
      <w:r w:rsidRPr="003F56D6">
        <w:rPr>
          <w:rFonts w:ascii="Times New Roman" w:hAnsi="Times New Roman" w:cs="Times New Roman"/>
          <w:i/>
          <w:iCs/>
          <w:noProof/>
        </w:rPr>
        <w:t>et al.</w:t>
      </w:r>
      <w:r w:rsidRPr="003F56D6">
        <w:rPr>
          <w:rFonts w:ascii="Times New Roman" w:hAnsi="Times New Roman" w:cs="Times New Roman"/>
          <w:noProof/>
        </w:rPr>
        <w:t xml:space="preserve"> Development and Validation of Chronopotentiometric Method for Imidacloprid Determination in Pesticide Formulations and River Water Samples. </w:t>
      </w:r>
      <w:r w:rsidRPr="003F56D6">
        <w:rPr>
          <w:rFonts w:ascii="Times New Roman" w:hAnsi="Times New Roman" w:cs="Times New Roman"/>
          <w:i/>
          <w:iCs/>
          <w:noProof/>
        </w:rPr>
        <w:t>Int. J. Anal. Chem.</w:t>
      </w:r>
      <w:r w:rsidRPr="003F56D6">
        <w:rPr>
          <w:rFonts w:ascii="Times New Roman" w:hAnsi="Times New Roman" w:cs="Times New Roman"/>
          <w:noProof/>
        </w:rPr>
        <w:t xml:space="preserve"> </w:t>
      </w:r>
      <w:r w:rsidRPr="003F56D6">
        <w:rPr>
          <w:rFonts w:ascii="Times New Roman" w:hAnsi="Times New Roman" w:cs="Times New Roman"/>
          <w:b/>
          <w:bCs/>
          <w:noProof/>
        </w:rPr>
        <w:t>2016</w:t>
      </w:r>
      <w:r w:rsidRPr="003F56D6">
        <w:rPr>
          <w:rFonts w:ascii="Times New Roman" w:hAnsi="Times New Roman" w:cs="Times New Roman"/>
          <w:noProof/>
        </w:rPr>
        <w:t>, 5138491 (2016).</w:t>
      </w:r>
    </w:p>
    <w:p w:rsidR="0045136A" w:rsidRPr="003F56D6" w:rsidRDefault="0045136A" w:rsidP="0045136A">
      <w:pPr>
        <w:pStyle w:val="ListParagraph"/>
        <w:numPr>
          <w:ilvl w:val="0"/>
          <w:numId w:val="1"/>
        </w:numPr>
        <w:spacing w:line="360" w:lineRule="auto"/>
        <w:ind w:left="360"/>
        <w:jc w:val="both"/>
        <w:rPr>
          <w:rFonts w:ascii="Times New Roman" w:hAnsi="Times New Roman" w:cs="Times New Roman"/>
        </w:rPr>
      </w:pPr>
      <w:r w:rsidRPr="003F56D6">
        <w:rPr>
          <w:rFonts w:ascii="Times New Roman" w:hAnsi="Times New Roman" w:cs="Times New Roman"/>
          <w:noProof/>
        </w:rPr>
        <w:t xml:space="preserve">Guzsvany, V., Gaál, F., Bjelica, L. &amp; Ökrész, S. Voltammetric determination of imidacloprid and thiamethoxam. </w:t>
      </w:r>
      <w:r w:rsidRPr="003F56D6">
        <w:rPr>
          <w:rFonts w:ascii="Times New Roman" w:hAnsi="Times New Roman" w:cs="Times New Roman"/>
          <w:i/>
          <w:iCs/>
          <w:noProof/>
        </w:rPr>
        <w:t>J. Serbian Chem. Soc.</w:t>
      </w:r>
      <w:r w:rsidRPr="003F56D6">
        <w:rPr>
          <w:rFonts w:ascii="Times New Roman" w:hAnsi="Times New Roman" w:cs="Times New Roman"/>
          <w:noProof/>
        </w:rPr>
        <w:t xml:space="preserve"> </w:t>
      </w:r>
      <w:r w:rsidRPr="003F56D6">
        <w:rPr>
          <w:rFonts w:ascii="Times New Roman" w:hAnsi="Times New Roman" w:cs="Times New Roman"/>
          <w:b/>
          <w:bCs/>
          <w:noProof/>
        </w:rPr>
        <w:t>70</w:t>
      </w:r>
      <w:r w:rsidRPr="003F56D6">
        <w:rPr>
          <w:rFonts w:ascii="Times New Roman" w:hAnsi="Times New Roman" w:cs="Times New Roman"/>
          <w:noProof/>
        </w:rPr>
        <w:t>, 735–743 (2005).</w:t>
      </w:r>
    </w:p>
    <w:sectPr w:rsidR="0045136A" w:rsidRPr="003F5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984441"/>
    <w:multiLevelType w:val="hybridMultilevel"/>
    <w:tmpl w:val="057A8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rC0NDY3M7E0tbS0NLdQ0lEKTi0uzszPAykwrAUAEKG3xCwAAAA="/>
  </w:docVars>
  <w:rsids>
    <w:rsidRoot w:val="00EC6901"/>
    <w:rsid w:val="00084A00"/>
    <w:rsid w:val="00141856"/>
    <w:rsid w:val="00162C67"/>
    <w:rsid w:val="001723E0"/>
    <w:rsid w:val="001F4053"/>
    <w:rsid w:val="003F56D6"/>
    <w:rsid w:val="0045136A"/>
    <w:rsid w:val="006D563D"/>
    <w:rsid w:val="00870FDD"/>
    <w:rsid w:val="009B5ACD"/>
    <w:rsid w:val="009E6AE2"/>
    <w:rsid w:val="00A94F02"/>
    <w:rsid w:val="00EC6901"/>
    <w:rsid w:val="00F56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6901"/>
    <w:rPr>
      <w:color w:val="0563C1" w:themeColor="hyperlink"/>
      <w:u w:val="single"/>
    </w:rPr>
  </w:style>
  <w:style w:type="paragraph" w:styleId="ListParagraph">
    <w:name w:val="List Paragraph"/>
    <w:basedOn w:val="Normal"/>
    <w:uiPriority w:val="34"/>
    <w:qFormat/>
    <w:rsid w:val="004513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6901"/>
    <w:rPr>
      <w:color w:val="0563C1" w:themeColor="hyperlink"/>
      <w:u w:val="single"/>
    </w:rPr>
  </w:style>
  <w:style w:type="paragraph" w:styleId="ListParagraph">
    <w:name w:val="List Paragraph"/>
    <w:basedOn w:val="Normal"/>
    <w:uiPriority w:val="34"/>
    <w:qFormat/>
    <w:rsid w:val="004513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ulkapoork@yaho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Atul Kapoor</dc:creator>
  <cp:lastModifiedBy>Breast Cancer 2021</cp:lastModifiedBy>
  <cp:revision>2</cp:revision>
  <dcterms:created xsi:type="dcterms:W3CDTF">2023-03-14T13:32:00Z</dcterms:created>
  <dcterms:modified xsi:type="dcterms:W3CDTF">2023-03-14T13:32:00Z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4ef331bc-b055-4aa9-9545-1fef40763f68</vt:lpwstr>
  </property>
</Properties>
</file>