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6B54" w:rsidRPr="00314E82" w:rsidRDefault="00314E82">
      <w:pPr>
        <w:rPr>
          <w:rFonts w:ascii="Times New Roman" w:hAnsi="Times New Roman" w:cs="Times New Roman"/>
          <w:b/>
          <w:sz w:val="24"/>
        </w:rPr>
      </w:pPr>
      <w:r w:rsidRPr="00314E82">
        <w:rPr>
          <w:rFonts w:ascii="Times New Roman" w:hAnsi="Times New Roman" w:cs="Times New Roman"/>
          <w:b/>
          <w:sz w:val="24"/>
        </w:rPr>
        <w:t>Identification of prognostic and predictive biomarkers in high-dimensional data with PPLasso</w:t>
      </w:r>
    </w:p>
    <w:p w:rsidR="00314E82" w:rsidRDefault="00314E82">
      <w:pPr>
        <w:rPr>
          <w:rFonts w:ascii="Times New Roman" w:hAnsi="Times New Roman" w:cs="Times New Roman"/>
          <w:sz w:val="24"/>
        </w:rPr>
      </w:pPr>
      <w:bookmarkStart w:id="0" w:name="_GoBack"/>
      <w:proofErr w:type="spellStart"/>
      <w:r>
        <w:rPr>
          <w:rFonts w:ascii="Times New Roman" w:hAnsi="Times New Roman" w:cs="Times New Roman"/>
          <w:sz w:val="24"/>
        </w:rPr>
        <w:t>Wencan</w:t>
      </w:r>
      <w:proofErr w:type="spellEnd"/>
      <w:r>
        <w:rPr>
          <w:rFonts w:ascii="Times New Roman" w:hAnsi="Times New Roman" w:cs="Times New Roman"/>
          <w:sz w:val="24"/>
        </w:rPr>
        <w:t xml:space="preserve"> Zhu</w:t>
      </w:r>
      <w:r>
        <w:rPr>
          <w:rFonts w:ascii="Times New Roman" w:hAnsi="Times New Roman" w:cs="Times New Roman"/>
          <w:sz w:val="24"/>
        </w:rPr>
        <w:br/>
      </w:r>
      <w:bookmarkEnd w:id="0"/>
      <w:r w:rsidRPr="00314E82">
        <w:rPr>
          <w:rFonts w:ascii="Times New Roman" w:hAnsi="Times New Roman" w:cs="Times New Roman"/>
          <w:sz w:val="24"/>
        </w:rPr>
        <w:t>MRC Laboratory of Molecular Biology, UK</w:t>
      </w:r>
    </w:p>
    <w:p w:rsidR="00314E82" w:rsidRPr="00314E82" w:rsidRDefault="00314E82" w:rsidP="00EF7ED1">
      <w:pPr>
        <w:jc w:val="both"/>
        <w:rPr>
          <w:rFonts w:ascii="Times New Roman" w:hAnsi="Times New Roman" w:cs="Times New Roman"/>
          <w:b/>
          <w:sz w:val="24"/>
        </w:rPr>
      </w:pPr>
      <w:r w:rsidRPr="00314E82">
        <w:rPr>
          <w:rFonts w:ascii="Times New Roman" w:hAnsi="Times New Roman" w:cs="Times New Roman"/>
          <w:b/>
          <w:sz w:val="24"/>
        </w:rPr>
        <w:t xml:space="preserve">Abstract </w:t>
      </w:r>
    </w:p>
    <w:p w:rsidR="00314E82" w:rsidRDefault="00314E82" w:rsidP="00EF7ED1">
      <w:pPr>
        <w:jc w:val="both"/>
        <w:rPr>
          <w:rFonts w:ascii="Times New Roman" w:hAnsi="Times New Roman" w:cs="Times New Roman"/>
          <w:sz w:val="24"/>
        </w:rPr>
      </w:pPr>
      <w:r w:rsidRPr="00314E82">
        <w:rPr>
          <w:rFonts w:ascii="Times New Roman" w:hAnsi="Times New Roman" w:cs="Times New Roman"/>
          <w:sz w:val="24"/>
        </w:rPr>
        <w:t xml:space="preserve">In clinical trials, identification of prognostic and predictive biomarkers has become essential to precision medicine. Prognostic biomarkers can be useful for the prevention of the occurrence of the disease, and predictive biomarkers can be used to identify patients with potential benefit from the treatment. Previous research was mainly focused on clinical characteristics, and the use of genomic data in such an area is hardly studied. A new method is required to simultaneously select prognostic and predictive biomarkers in high dimensional genomic data where biomarkers are highly correlated. We propose a novel approach called </w:t>
      </w:r>
      <w:proofErr w:type="gramStart"/>
      <w:r w:rsidRPr="00314E82">
        <w:rPr>
          <w:rFonts w:ascii="Times New Roman" w:hAnsi="Times New Roman" w:cs="Times New Roman"/>
          <w:sz w:val="24"/>
        </w:rPr>
        <w:t>PPLasso, that</w:t>
      </w:r>
      <w:proofErr w:type="gramEnd"/>
      <w:r w:rsidRPr="00314E82">
        <w:rPr>
          <w:rFonts w:ascii="Times New Roman" w:hAnsi="Times New Roman" w:cs="Times New Roman"/>
          <w:sz w:val="24"/>
        </w:rPr>
        <w:t xml:space="preserve"> integrates prognostic and predictive effects into one statistical model. PPLasso also takes into account the correlations between biomarkers that can alter the biomarker selection accuracy. Our method consists in transforming the design matrix to remove the correlations between the biomarkers before applying the generalized Lasso. In a comprehensive numerical evaluation, we show that PPLasso outperforms the traditional Lasso and other extensions on both prognostic and predictive biomarker identification in various scenarios. Finally, our method is applied to publicly available </w:t>
      </w:r>
      <w:proofErr w:type="spellStart"/>
      <w:r w:rsidRPr="00314E82">
        <w:rPr>
          <w:rFonts w:ascii="Times New Roman" w:hAnsi="Times New Roman" w:cs="Times New Roman"/>
          <w:sz w:val="24"/>
        </w:rPr>
        <w:t>transcriptomic</w:t>
      </w:r>
      <w:proofErr w:type="spellEnd"/>
      <w:r w:rsidRPr="00314E82">
        <w:rPr>
          <w:rFonts w:ascii="Times New Roman" w:hAnsi="Times New Roman" w:cs="Times New Roman"/>
          <w:sz w:val="24"/>
        </w:rPr>
        <w:t xml:space="preserve"> and proteomic data.</w:t>
      </w:r>
    </w:p>
    <w:p w:rsidR="00314E82" w:rsidRDefault="00314E82" w:rsidP="00EF7ED1">
      <w:pPr>
        <w:pStyle w:val="Heading3"/>
        <w:spacing w:before="74"/>
        <w:jc w:val="both"/>
      </w:pPr>
      <w:r>
        <w:rPr>
          <w:color w:val="BF5A14"/>
        </w:rPr>
        <w:t>Image</w:t>
      </w:r>
    </w:p>
    <w:p w:rsidR="00314E82" w:rsidRDefault="00314E82" w:rsidP="00EF7ED1">
      <w:pPr>
        <w:pStyle w:val="BodyText"/>
        <w:spacing w:before="2"/>
        <w:jc w:val="both"/>
        <w:rPr>
          <w:rFonts w:ascii="Arial"/>
          <w:b/>
          <w:sz w:val="16"/>
        </w:rPr>
      </w:pPr>
      <w:r>
        <w:rPr>
          <w:rFonts w:ascii="Arial"/>
          <w:b/>
          <w:noProof/>
          <w:sz w:val="16"/>
          <w:lang w:val="en-IN" w:eastAsia="en-IN"/>
        </w:rPr>
        <w:drawing>
          <wp:inline distT="0" distB="0" distL="0" distR="0" wp14:anchorId="1F2D184A" wp14:editId="20098FFF">
            <wp:extent cx="3165475" cy="1983740"/>
            <wp:effectExtent l="0" t="0" r="0" b="0"/>
            <wp:docPr id="4" name="Picture 4"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Diagram&#10;&#10;Description automatically generated"/>
                    <pic:cNvPicPr/>
                  </pic:nvPicPr>
                  <pic:blipFill>
                    <a:blip r:embed="rId6" cstate="print">
                      <a:extLst>
                        <a:ext uri="{28A0092B-C50C-407E-A947-70E740481C1C}">
                          <a14:useLocalDpi xmlns:a14="http://schemas.microsoft.com/office/drawing/2010/main" val="0"/>
                        </a:ext>
                      </a:extLst>
                    </a:blip>
                    <a:stretch>
                      <a:fillRect/>
                    </a:stretch>
                  </pic:blipFill>
                  <pic:spPr>
                    <a:xfrm>
                      <a:off x="0" y="0"/>
                      <a:ext cx="3165475" cy="1983740"/>
                    </a:xfrm>
                    <a:prstGeom prst="rect">
                      <a:avLst/>
                    </a:prstGeom>
                  </pic:spPr>
                </pic:pic>
              </a:graphicData>
            </a:graphic>
          </wp:inline>
        </w:drawing>
      </w:r>
    </w:p>
    <w:p w:rsidR="00314E82" w:rsidRPr="00314E82" w:rsidRDefault="00314E82" w:rsidP="00EF7ED1">
      <w:pPr>
        <w:jc w:val="both"/>
        <w:rPr>
          <w:rFonts w:ascii="Times New Roman" w:hAnsi="Times New Roman" w:cs="Times New Roman"/>
          <w:sz w:val="24"/>
          <w:szCs w:val="24"/>
        </w:rPr>
      </w:pPr>
      <w:proofErr w:type="gramStart"/>
      <w:r w:rsidRPr="00314E82">
        <w:rPr>
          <w:rFonts w:ascii="Times New Roman" w:hAnsi="Times New Roman" w:cs="Times New Roman"/>
          <w:b/>
          <w:sz w:val="24"/>
          <w:szCs w:val="24"/>
        </w:rPr>
        <w:t>F</w:t>
      </w:r>
      <w:r w:rsidRPr="00314E82">
        <w:rPr>
          <w:rFonts w:ascii="Times New Roman" w:hAnsi="Times New Roman" w:cs="Times New Roman"/>
          <w:sz w:val="24"/>
          <w:szCs w:val="24"/>
        </w:rPr>
        <w:t>ig 1.</w:t>
      </w:r>
      <w:proofErr w:type="gramEnd"/>
      <w:r w:rsidRPr="00314E82">
        <w:rPr>
          <w:rFonts w:ascii="Times New Roman" w:hAnsi="Times New Roman" w:cs="Times New Roman"/>
          <w:sz w:val="24"/>
          <w:szCs w:val="24"/>
        </w:rPr>
        <w:t xml:space="preserve"> </w:t>
      </w:r>
      <w:proofErr w:type="gramStart"/>
      <w:r w:rsidRPr="00314E82">
        <w:rPr>
          <w:rFonts w:ascii="Times New Roman" w:hAnsi="Times New Roman" w:cs="Times New Roman"/>
          <w:sz w:val="24"/>
          <w:szCs w:val="24"/>
        </w:rPr>
        <w:t>ANCOVA (Analysis of Covariance) model for the identification of prognostic and predictive biomarkers in clinical trials.</w:t>
      </w:r>
      <w:proofErr w:type="gramEnd"/>
    </w:p>
    <w:p w:rsidR="00314E82" w:rsidRPr="00314E82" w:rsidRDefault="00314E82" w:rsidP="00EF7ED1">
      <w:pPr>
        <w:jc w:val="both"/>
        <w:rPr>
          <w:rFonts w:ascii="Times New Roman" w:hAnsi="Times New Roman" w:cs="Times New Roman"/>
          <w:b/>
          <w:sz w:val="24"/>
          <w:szCs w:val="24"/>
        </w:rPr>
      </w:pPr>
      <w:r w:rsidRPr="00314E82">
        <w:rPr>
          <w:rFonts w:ascii="Times New Roman" w:hAnsi="Times New Roman" w:cs="Times New Roman"/>
          <w:b/>
          <w:sz w:val="24"/>
          <w:szCs w:val="24"/>
        </w:rPr>
        <w:br/>
        <w:t>Recent Publications</w:t>
      </w:r>
      <w:r>
        <w:rPr>
          <w:rFonts w:ascii="Times New Roman" w:hAnsi="Times New Roman" w:cs="Times New Roman"/>
          <w:b/>
          <w:sz w:val="24"/>
          <w:szCs w:val="24"/>
        </w:rPr>
        <w:t>:</w:t>
      </w:r>
      <w:r w:rsidRPr="00314E82">
        <w:rPr>
          <w:rFonts w:ascii="Times New Roman" w:hAnsi="Times New Roman" w:cs="Times New Roman"/>
          <w:b/>
          <w:sz w:val="24"/>
          <w:szCs w:val="24"/>
        </w:rPr>
        <w:t xml:space="preserve"> </w:t>
      </w:r>
    </w:p>
    <w:p w:rsidR="00314E82" w:rsidRPr="00314E82" w:rsidRDefault="00314E82" w:rsidP="00EF7ED1">
      <w:pPr>
        <w:jc w:val="both"/>
        <w:rPr>
          <w:rFonts w:ascii="Times New Roman" w:hAnsi="Times New Roman" w:cs="Times New Roman"/>
          <w:sz w:val="24"/>
          <w:szCs w:val="24"/>
        </w:rPr>
      </w:pPr>
      <w:proofErr w:type="gramStart"/>
      <w:r w:rsidRPr="00314E82">
        <w:rPr>
          <w:rFonts w:ascii="Times New Roman" w:hAnsi="Times New Roman" w:cs="Times New Roman"/>
          <w:sz w:val="24"/>
          <w:szCs w:val="24"/>
        </w:rPr>
        <w:t xml:space="preserve">Zhu, W., </w:t>
      </w:r>
      <w:proofErr w:type="spellStart"/>
      <w:r w:rsidRPr="00314E82">
        <w:rPr>
          <w:rFonts w:ascii="Times New Roman" w:hAnsi="Times New Roman" w:cs="Times New Roman"/>
          <w:sz w:val="24"/>
          <w:szCs w:val="24"/>
        </w:rPr>
        <w:t>Lévy</w:t>
      </w:r>
      <w:proofErr w:type="spellEnd"/>
      <w:r w:rsidRPr="00314E82">
        <w:rPr>
          <w:rFonts w:ascii="Times New Roman" w:hAnsi="Times New Roman" w:cs="Times New Roman"/>
          <w:sz w:val="24"/>
          <w:szCs w:val="24"/>
        </w:rPr>
        <w:t xml:space="preserve">-Leduc, C., &amp; </w:t>
      </w:r>
      <w:proofErr w:type="spellStart"/>
      <w:r w:rsidRPr="00314E82">
        <w:rPr>
          <w:rFonts w:ascii="Times New Roman" w:hAnsi="Times New Roman" w:cs="Times New Roman"/>
          <w:sz w:val="24"/>
          <w:szCs w:val="24"/>
        </w:rPr>
        <w:t>Ternès</w:t>
      </w:r>
      <w:proofErr w:type="spellEnd"/>
      <w:r w:rsidRPr="00314E82">
        <w:rPr>
          <w:rFonts w:ascii="Times New Roman" w:hAnsi="Times New Roman" w:cs="Times New Roman"/>
          <w:sz w:val="24"/>
          <w:szCs w:val="24"/>
        </w:rPr>
        <w:t>, N. (2021).</w:t>
      </w:r>
      <w:proofErr w:type="gramEnd"/>
      <w:r w:rsidRPr="00314E82">
        <w:rPr>
          <w:rFonts w:ascii="Times New Roman" w:hAnsi="Times New Roman" w:cs="Times New Roman"/>
          <w:sz w:val="24"/>
          <w:szCs w:val="24"/>
        </w:rPr>
        <w:t xml:space="preserve"> A variable selection approach for highly correlated predictors in high-dimensional genomic data. Bioinformatics, 37(16), 2238–2244.</w:t>
      </w:r>
    </w:p>
    <w:p w:rsidR="00314E82" w:rsidRPr="00314E82" w:rsidRDefault="00314E82" w:rsidP="00EF7ED1">
      <w:pPr>
        <w:jc w:val="both"/>
        <w:rPr>
          <w:rFonts w:ascii="Times New Roman" w:hAnsi="Times New Roman" w:cs="Times New Roman"/>
          <w:sz w:val="24"/>
          <w:szCs w:val="24"/>
        </w:rPr>
      </w:pPr>
      <w:r w:rsidRPr="00314E82">
        <w:rPr>
          <w:rFonts w:ascii="Times New Roman" w:hAnsi="Times New Roman" w:cs="Times New Roman"/>
          <w:sz w:val="24"/>
          <w:szCs w:val="24"/>
        </w:rPr>
        <w:lastRenderedPageBreak/>
        <w:t xml:space="preserve">Zhu, W., </w:t>
      </w:r>
      <w:proofErr w:type="spellStart"/>
      <w:r w:rsidRPr="00314E82">
        <w:rPr>
          <w:rFonts w:ascii="Times New Roman" w:hAnsi="Times New Roman" w:cs="Times New Roman"/>
          <w:sz w:val="24"/>
          <w:szCs w:val="24"/>
        </w:rPr>
        <w:t>Lévy</w:t>
      </w:r>
      <w:proofErr w:type="spellEnd"/>
      <w:r w:rsidRPr="00314E82">
        <w:rPr>
          <w:rFonts w:ascii="Times New Roman" w:hAnsi="Times New Roman" w:cs="Times New Roman"/>
          <w:sz w:val="24"/>
          <w:szCs w:val="24"/>
        </w:rPr>
        <w:t xml:space="preserve">-Leduc, C., &amp; </w:t>
      </w:r>
      <w:proofErr w:type="spellStart"/>
      <w:r w:rsidRPr="00314E82">
        <w:rPr>
          <w:rFonts w:ascii="Times New Roman" w:hAnsi="Times New Roman" w:cs="Times New Roman"/>
          <w:sz w:val="24"/>
          <w:szCs w:val="24"/>
        </w:rPr>
        <w:t>Ternès</w:t>
      </w:r>
      <w:proofErr w:type="spellEnd"/>
      <w:r w:rsidRPr="00314E82">
        <w:rPr>
          <w:rFonts w:ascii="Times New Roman" w:hAnsi="Times New Roman" w:cs="Times New Roman"/>
          <w:sz w:val="24"/>
          <w:szCs w:val="24"/>
        </w:rPr>
        <w:t>, N. (2022). Identification of prognostic and predictive biomarkers in high-dimensional data with PPLasso. BMC Bioinformatics, 24(25).</w:t>
      </w:r>
    </w:p>
    <w:p w:rsidR="00314E82" w:rsidRPr="00314E82" w:rsidRDefault="00314E82" w:rsidP="00EF7ED1">
      <w:pPr>
        <w:jc w:val="both"/>
        <w:rPr>
          <w:rFonts w:ascii="Times New Roman" w:hAnsi="Times New Roman" w:cs="Times New Roman"/>
          <w:sz w:val="24"/>
          <w:szCs w:val="24"/>
        </w:rPr>
      </w:pPr>
      <w:r w:rsidRPr="00314E82">
        <w:rPr>
          <w:rFonts w:ascii="Times New Roman" w:hAnsi="Times New Roman" w:cs="Times New Roman"/>
          <w:sz w:val="24"/>
          <w:szCs w:val="24"/>
        </w:rPr>
        <w:t xml:space="preserve">Liu, F., Zhu, W., </w:t>
      </w:r>
      <w:proofErr w:type="spellStart"/>
      <w:r w:rsidRPr="00314E82">
        <w:rPr>
          <w:rFonts w:ascii="Times New Roman" w:hAnsi="Times New Roman" w:cs="Times New Roman"/>
          <w:sz w:val="24"/>
          <w:szCs w:val="24"/>
        </w:rPr>
        <w:t>Shoaito</w:t>
      </w:r>
      <w:proofErr w:type="spellEnd"/>
      <w:r w:rsidRPr="00314E82">
        <w:rPr>
          <w:rFonts w:ascii="Times New Roman" w:hAnsi="Times New Roman" w:cs="Times New Roman"/>
          <w:sz w:val="24"/>
          <w:szCs w:val="24"/>
        </w:rPr>
        <w:t xml:space="preserve">, H., </w:t>
      </w:r>
      <w:proofErr w:type="spellStart"/>
      <w:r w:rsidRPr="00314E82">
        <w:rPr>
          <w:rFonts w:ascii="Times New Roman" w:hAnsi="Times New Roman" w:cs="Times New Roman"/>
          <w:sz w:val="24"/>
          <w:szCs w:val="24"/>
        </w:rPr>
        <w:t>Chissey</w:t>
      </w:r>
      <w:proofErr w:type="spellEnd"/>
      <w:r w:rsidRPr="00314E82">
        <w:rPr>
          <w:rFonts w:ascii="Times New Roman" w:hAnsi="Times New Roman" w:cs="Times New Roman"/>
          <w:sz w:val="24"/>
          <w:szCs w:val="24"/>
        </w:rPr>
        <w:t xml:space="preserve">, A., </w:t>
      </w:r>
      <w:proofErr w:type="spellStart"/>
      <w:r w:rsidRPr="00314E82">
        <w:rPr>
          <w:rFonts w:ascii="Times New Roman" w:hAnsi="Times New Roman" w:cs="Times New Roman"/>
          <w:sz w:val="24"/>
          <w:szCs w:val="24"/>
        </w:rPr>
        <w:t>Degrelle</w:t>
      </w:r>
      <w:proofErr w:type="spellEnd"/>
      <w:r w:rsidRPr="00314E82">
        <w:rPr>
          <w:rFonts w:ascii="Times New Roman" w:hAnsi="Times New Roman" w:cs="Times New Roman"/>
          <w:sz w:val="24"/>
          <w:szCs w:val="24"/>
        </w:rPr>
        <w:t>, S. A., &amp; Fournier, T. (2020). Mining of combined human placental gene expression data across pregnancy, applied to PPAR signaling pathway. Placenta, 99, 157–165.</w:t>
      </w:r>
    </w:p>
    <w:p w:rsidR="00314E82" w:rsidRPr="00314E82" w:rsidRDefault="00314E82" w:rsidP="00EF7ED1">
      <w:pPr>
        <w:jc w:val="both"/>
        <w:rPr>
          <w:rFonts w:ascii="Times New Roman" w:hAnsi="Times New Roman" w:cs="Times New Roman"/>
          <w:sz w:val="24"/>
          <w:szCs w:val="24"/>
        </w:rPr>
      </w:pPr>
      <w:r w:rsidRPr="00314E82">
        <w:rPr>
          <w:rFonts w:ascii="Times New Roman" w:hAnsi="Times New Roman" w:cs="Times New Roman"/>
          <w:sz w:val="24"/>
          <w:szCs w:val="24"/>
        </w:rPr>
        <w:t xml:space="preserve">Liu, F., Rouault, C., </w:t>
      </w:r>
      <w:proofErr w:type="spellStart"/>
      <w:r w:rsidRPr="00314E82">
        <w:rPr>
          <w:rFonts w:ascii="Times New Roman" w:hAnsi="Times New Roman" w:cs="Times New Roman"/>
          <w:sz w:val="24"/>
          <w:szCs w:val="24"/>
        </w:rPr>
        <w:t>Guesnon</w:t>
      </w:r>
      <w:proofErr w:type="spellEnd"/>
      <w:r w:rsidRPr="00314E82">
        <w:rPr>
          <w:rFonts w:ascii="Times New Roman" w:hAnsi="Times New Roman" w:cs="Times New Roman"/>
          <w:sz w:val="24"/>
          <w:szCs w:val="24"/>
        </w:rPr>
        <w:t xml:space="preserve">, M., Zhu, W., Clément, K., </w:t>
      </w:r>
      <w:proofErr w:type="spellStart"/>
      <w:r w:rsidRPr="00314E82">
        <w:rPr>
          <w:rFonts w:ascii="Times New Roman" w:hAnsi="Times New Roman" w:cs="Times New Roman"/>
          <w:sz w:val="24"/>
          <w:szCs w:val="24"/>
        </w:rPr>
        <w:t>Degrelle</w:t>
      </w:r>
      <w:proofErr w:type="spellEnd"/>
      <w:r w:rsidRPr="00314E82">
        <w:rPr>
          <w:rFonts w:ascii="Times New Roman" w:hAnsi="Times New Roman" w:cs="Times New Roman"/>
          <w:sz w:val="24"/>
          <w:szCs w:val="24"/>
        </w:rPr>
        <w:t xml:space="preserve">, S. A., &amp; Fournier, T. (2020). Comparative Study of </w:t>
      </w:r>
      <w:proofErr w:type="spellStart"/>
      <w:r w:rsidRPr="00314E82">
        <w:rPr>
          <w:rFonts w:ascii="Times New Roman" w:hAnsi="Times New Roman" w:cs="Times New Roman"/>
          <w:sz w:val="24"/>
          <w:szCs w:val="24"/>
        </w:rPr>
        <w:t>PPARγ</w:t>
      </w:r>
      <w:proofErr w:type="spellEnd"/>
      <w:r w:rsidRPr="00314E82">
        <w:rPr>
          <w:rFonts w:ascii="Times New Roman" w:hAnsi="Times New Roman" w:cs="Times New Roman"/>
          <w:sz w:val="24"/>
          <w:szCs w:val="24"/>
        </w:rPr>
        <w:t xml:space="preserve"> Targets in Human </w:t>
      </w:r>
      <w:proofErr w:type="spellStart"/>
      <w:r w:rsidRPr="00314E82">
        <w:rPr>
          <w:rFonts w:ascii="Times New Roman" w:hAnsi="Times New Roman" w:cs="Times New Roman"/>
          <w:sz w:val="24"/>
          <w:szCs w:val="24"/>
        </w:rPr>
        <w:t>Extravillous</w:t>
      </w:r>
      <w:proofErr w:type="spellEnd"/>
      <w:r w:rsidRPr="00314E82">
        <w:rPr>
          <w:rFonts w:ascii="Times New Roman" w:hAnsi="Times New Roman" w:cs="Times New Roman"/>
          <w:sz w:val="24"/>
          <w:szCs w:val="24"/>
        </w:rPr>
        <w:t xml:space="preserve"> and Villous </w:t>
      </w:r>
      <w:proofErr w:type="spellStart"/>
      <w:r w:rsidRPr="00314E82">
        <w:rPr>
          <w:rFonts w:ascii="Times New Roman" w:hAnsi="Times New Roman" w:cs="Times New Roman"/>
          <w:sz w:val="24"/>
          <w:szCs w:val="24"/>
        </w:rPr>
        <w:t>Cytotrophoblasts</w:t>
      </w:r>
      <w:proofErr w:type="spellEnd"/>
      <w:r w:rsidRPr="00314E82">
        <w:rPr>
          <w:rFonts w:ascii="Times New Roman" w:hAnsi="Times New Roman" w:cs="Times New Roman"/>
          <w:sz w:val="24"/>
          <w:szCs w:val="24"/>
        </w:rPr>
        <w:t>. PPAR research, 9210748.</w:t>
      </w:r>
    </w:p>
    <w:p w:rsidR="00314E82" w:rsidRPr="00314E82" w:rsidRDefault="00314E82" w:rsidP="00EF7ED1">
      <w:pPr>
        <w:jc w:val="both"/>
        <w:rPr>
          <w:rFonts w:ascii="Times New Roman" w:hAnsi="Times New Roman" w:cs="Times New Roman"/>
          <w:sz w:val="24"/>
          <w:szCs w:val="24"/>
        </w:rPr>
      </w:pPr>
      <w:r w:rsidRPr="00314E82">
        <w:rPr>
          <w:rFonts w:ascii="Times New Roman" w:hAnsi="Times New Roman" w:cs="Times New Roman"/>
          <w:sz w:val="24"/>
          <w:szCs w:val="24"/>
        </w:rPr>
        <w:t xml:space="preserve">Liu, F., </w:t>
      </w:r>
      <w:proofErr w:type="spellStart"/>
      <w:r w:rsidRPr="00314E82">
        <w:rPr>
          <w:rFonts w:ascii="Times New Roman" w:hAnsi="Times New Roman" w:cs="Times New Roman"/>
          <w:sz w:val="24"/>
          <w:szCs w:val="24"/>
        </w:rPr>
        <w:t>Simasotchi</w:t>
      </w:r>
      <w:proofErr w:type="spellEnd"/>
      <w:r w:rsidRPr="00314E82">
        <w:rPr>
          <w:rFonts w:ascii="Times New Roman" w:hAnsi="Times New Roman" w:cs="Times New Roman"/>
          <w:sz w:val="24"/>
          <w:szCs w:val="24"/>
        </w:rPr>
        <w:t xml:space="preserve">, C., </w:t>
      </w:r>
      <w:proofErr w:type="spellStart"/>
      <w:r w:rsidRPr="00314E82">
        <w:rPr>
          <w:rFonts w:ascii="Times New Roman" w:hAnsi="Times New Roman" w:cs="Times New Roman"/>
          <w:sz w:val="24"/>
          <w:szCs w:val="24"/>
        </w:rPr>
        <w:t>Vibert</w:t>
      </w:r>
      <w:proofErr w:type="spellEnd"/>
      <w:r w:rsidRPr="00314E82">
        <w:rPr>
          <w:rFonts w:ascii="Times New Roman" w:hAnsi="Times New Roman" w:cs="Times New Roman"/>
          <w:sz w:val="24"/>
          <w:szCs w:val="24"/>
        </w:rPr>
        <w:t xml:space="preserve">, F., Zhu, W., Gil, S., </w:t>
      </w:r>
      <w:proofErr w:type="spellStart"/>
      <w:r w:rsidRPr="00314E82">
        <w:rPr>
          <w:rFonts w:ascii="Times New Roman" w:hAnsi="Times New Roman" w:cs="Times New Roman"/>
          <w:sz w:val="24"/>
          <w:szCs w:val="24"/>
        </w:rPr>
        <w:t>Degrelle</w:t>
      </w:r>
      <w:proofErr w:type="spellEnd"/>
      <w:r w:rsidRPr="00314E82">
        <w:rPr>
          <w:rFonts w:ascii="Times New Roman" w:hAnsi="Times New Roman" w:cs="Times New Roman"/>
          <w:sz w:val="24"/>
          <w:szCs w:val="24"/>
        </w:rPr>
        <w:t xml:space="preserve">, S. A., &amp; Fournier, T. (2021). Age and Sex-Related Changes in Human First-Trimester Placenta </w:t>
      </w:r>
      <w:proofErr w:type="spellStart"/>
      <w:r w:rsidRPr="00314E82">
        <w:rPr>
          <w:rFonts w:ascii="Times New Roman" w:hAnsi="Times New Roman" w:cs="Times New Roman"/>
          <w:sz w:val="24"/>
          <w:szCs w:val="24"/>
        </w:rPr>
        <w:t>Transcriptome</w:t>
      </w:r>
      <w:proofErr w:type="spellEnd"/>
      <w:r w:rsidRPr="00314E82">
        <w:rPr>
          <w:rFonts w:ascii="Times New Roman" w:hAnsi="Times New Roman" w:cs="Times New Roman"/>
          <w:sz w:val="24"/>
          <w:szCs w:val="24"/>
        </w:rPr>
        <w:t xml:space="preserve"> and Insights into </w:t>
      </w:r>
      <w:proofErr w:type="spellStart"/>
      <w:r w:rsidRPr="00314E82">
        <w:rPr>
          <w:rFonts w:ascii="Times New Roman" w:hAnsi="Times New Roman" w:cs="Times New Roman"/>
          <w:sz w:val="24"/>
          <w:szCs w:val="24"/>
        </w:rPr>
        <w:t>Adaptative</w:t>
      </w:r>
      <w:proofErr w:type="spellEnd"/>
      <w:r w:rsidRPr="00314E82">
        <w:rPr>
          <w:rFonts w:ascii="Times New Roman" w:hAnsi="Times New Roman" w:cs="Times New Roman"/>
          <w:sz w:val="24"/>
          <w:szCs w:val="24"/>
        </w:rPr>
        <w:t xml:space="preserve"> Responses to Increased Oxygen. International journal of molecular sciences, 22(6), 2901.</w:t>
      </w:r>
    </w:p>
    <w:p w:rsidR="00314E82" w:rsidRDefault="00314E82" w:rsidP="00EF7ED1">
      <w:pPr>
        <w:jc w:val="both"/>
        <w:rPr>
          <w:rFonts w:ascii="Times New Roman" w:hAnsi="Times New Roman" w:cs="Times New Roman"/>
          <w:sz w:val="24"/>
          <w:szCs w:val="24"/>
        </w:rPr>
      </w:pPr>
    </w:p>
    <w:p w:rsidR="00314E82" w:rsidRPr="00314E82" w:rsidRDefault="00314E82" w:rsidP="00EF7ED1">
      <w:pPr>
        <w:jc w:val="both"/>
        <w:rPr>
          <w:rFonts w:ascii="Times New Roman" w:hAnsi="Times New Roman" w:cs="Times New Roman"/>
          <w:b/>
          <w:sz w:val="24"/>
          <w:szCs w:val="24"/>
        </w:rPr>
      </w:pPr>
      <w:r>
        <w:rPr>
          <w:rFonts w:ascii="Times New Roman" w:hAnsi="Times New Roman" w:cs="Times New Roman"/>
          <w:b/>
          <w:sz w:val="24"/>
          <w:szCs w:val="24"/>
        </w:rPr>
        <w:t>Biography:</w:t>
      </w:r>
    </w:p>
    <w:p w:rsidR="00314E82" w:rsidRPr="00314E82" w:rsidRDefault="00314E82" w:rsidP="00EF7ED1">
      <w:pPr>
        <w:jc w:val="both"/>
        <w:rPr>
          <w:rFonts w:ascii="Times New Roman" w:hAnsi="Times New Roman" w:cs="Times New Roman"/>
          <w:sz w:val="24"/>
          <w:szCs w:val="24"/>
        </w:rPr>
      </w:pPr>
      <w:proofErr w:type="spellStart"/>
      <w:r w:rsidRPr="00314E82">
        <w:rPr>
          <w:rFonts w:ascii="Times New Roman" w:hAnsi="Times New Roman" w:cs="Times New Roman"/>
          <w:sz w:val="24"/>
          <w:szCs w:val="24"/>
        </w:rPr>
        <w:t>Wencan</w:t>
      </w:r>
      <w:proofErr w:type="spellEnd"/>
      <w:r w:rsidRPr="00314E82">
        <w:rPr>
          <w:rFonts w:ascii="Times New Roman" w:hAnsi="Times New Roman" w:cs="Times New Roman"/>
          <w:sz w:val="24"/>
          <w:szCs w:val="24"/>
        </w:rPr>
        <w:t xml:space="preserve"> Zhu has her expertise in developing and evaluating new machine learning based algorithms to support the development of precision medicine. Particularly, here research interest lies on the identification of biomarkers (genes, proteins etc.) that are associated to the response to the treatment. With such biomarkers successfully identified, the treatment administration can then be optimized according to the molecular make-up of each patient. Owning a background in mathematics, she aims to find better mathematical modeling to help the data analysis.   </w:t>
      </w:r>
    </w:p>
    <w:sectPr w:rsidR="00314E82" w:rsidRPr="00314E8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5"/>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4E82"/>
    <w:rsid w:val="00314E82"/>
    <w:rsid w:val="005014F6"/>
    <w:rsid w:val="007C6B54"/>
    <w:rsid w:val="007F112D"/>
    <w:rsid w:val="00EF7E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1"/>
    <w:qFormat/>
    <w:rsid w:val="00314E82"/>
    <w:pPr>
      <w:widowControl w:val="0"/>
      <w:spacing w:after="0" w:line="240" w:lineRule="auto"/>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1"/>
    <w:rsid w:val="00314E82"/>
    <w:rPr>
      <w:rFonts w:ascii="Arial" w:eastAsia="Arial" w:hAnsi="Arial" w:cs="Arial"/>
      <w:b/>
      <w:bCs/>
      <w:sz w:val="20"/>
      <w:szCs w:val="20"/>
    </w:rPr>
  </w:style>
  <w:style w:type="paragraph" w:styleId="BodyText">
    <w:name w:val="Body Text"/>
    <w:basedOn w:val="Normal"/>
    <w:link w:val="BodyTextChar"/>
    <w:uiPriority w:val="1"/>
    <w:qFormat/>
    <w:rsid w:val="00314E82"/>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rsid w:val="00314E82"/>
    <w:rPr>
      <w:rFonts w:ascii="Tw Cen MT" w:eastAsia="Tw Cen MT" w:hAnsi="Tw Cen MT" w:cs="Tw Cen MT"/>
      <w:sz w:val="18"/>
      <w:szCs w:val="18"/>
    </w:rPr>
  </w:style>
  <w:style w:type="paragraph" w:styleId="ListParagraph">
    <w:name w:val="List Paragraph"/>
    <w:basedOn w:val="Normal"/>
    <w:uiPriority w:val="1"/>
    <w:qFormat/>
    <w:rsid w:val="00314E82"/>
    <w:pPr>
      <w:widowControl w:val="0"/>
      <w:spacing w:before="90" w:after="0" w:line="200" w:lineRule="exact"/>
      <w:ind w:left="383" w:hanging="283"/>
      <w:jc w:val="both"/>
    </w:pPr>
    <w:rPr>
      <w:rFonts w:ascii="Calibri" w:eastAsia="Calibri" w:hAnsi="Calibri" w:cs="Calibri"/>
    </w:rPr>
  </w:style>
  <w:style w:type="paragraph" w:styleId="BalloonText">
    <w:name w:val="Balloon Text"/>
    <w:basedOn w:val="Normal"/>
    <w:link w:val="BalloonTextChar"/>
    <w:uiPriority w:val="99"/>
    <w:semiHidden/>
    <w:unhideWhenUsed/>
    <w:rsid w:val="00314E8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14E8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1"/>
    <w:qFormat/>
    <w:rsid w:val="00314E82"/>
    <w:pPr>
      <w:widowControl w:val="0"/>
      <w:spacing w:after="0" w:line="240" w:lineRule="auto"/>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1"/>
    <w:rsid w:val="00314E82"/>
    <w:rPr>
      <w:rFonts w:ascii="Arial" w:eastAsia="Arial" w:hAnsi="Arial" w:cs="Arial"/>
      <w:b/>
      <w:bCs/>
      <w:sz w:val="20"/>
      <w:szCs w:val="20"/>
    </w:rPr>
  </w:style>
  <w:style w:type="paragraph" w:styleId="BodyText">
    <w:name w:val="Body Text"/>
    <w:basedOn w:val="Normal"/>
    <w:link w:val="BodyTextChar"/>
    <w:uiPriority w:val="1"/>
    <w:qFormat/>
    <w:rsid w:val="00314E82"/>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rsid w:val="00314E82"/>
    <w:rPr>
      <w:rFonts w:ascii="Tw Cen MT" w:eastAsia="Tw Cen MT" w:hAnsi="Tw Cen MT" w:cs="Tw Cen MT"/>
      <w:sz w:val="18"/>
      <w:szCs w:val="18"/>
    </w:rPr>
  </w:style>
  <w:style w:type="paragraph" w:styleId="ListParagraph">
    <w:name w:val="List Paragraph"/>
    <w:basedOn w:val="Normal"/>
    <w:uiPriority w:val="1"/>
    <w:qFormat/>
    <w:rsid w:val="00314E82"/>
    <w:pPr>
      <w:widowControl w:val="0"/>
      <w:spacing w:before="90" w:after="0" w:line="200" w:lineRule="exact"/>
      <w:ind w:left="383" w:hanging="283"/>
      <w:jc w:val="both"/>
    </w:pPr>
    <w:rPr>
      <w:rFonts w:ascii="Calibri" w:eastAsia="Calibri" w:hAnsi="Calibri" w:cs="Calibri"/>
    </w:rPr>
  </w:style>
  <w:style w:type="paragraph" w:styleId="BalloonText">
    <w:name w:val="Balloon Text"/>
    <w:basedOn w:val="Normal"/>
    <w:link w:val="BalloonTextChar"/>
    <w:uiPriority w:val="99"/>
    <w:semiHidden/>
    <w:unhideWhenUsed/>
    <w:rsid w:val="00314E8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14E8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479</Words>
  <Characters>2734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Niharika Mandal</dc:creator>
  <cp:lastModifiedBy>Vascular Dementia</cp:lastModifiedBy>
  <cp:revision>2</cp:revision>
  <dcterms:created xsi:type="dcterms:W3CDTF">2023-03-14T08:07:00Z</dcterms:created>
  <dcterms:modified xsi:type="dcterms:W3CDTF">2023-03-14T08:07:00Z</dcterms:modified>
</cp:coreProperties>
</file>