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68AF" w:rsidRPr="005068AF" w:rsidRDefault="005068AF" w:rsidP="005068AF">
      <w:pPr>
        <w:pStyle w:val="BodyText"/>
        <w:rPr>
          <w:rFonts w:ascii="Minion Pro" w:eastAsia="Minion Pro" w:hAnsi="Minion Pro" w:cs="Minion Pro"/>
          <w:b/>
          <w:bCs/>
          <w:color w:val="337AB7"/>
          <w:sz w:val="36"/>
          <w:szCs w:val="36"/>
        </w:rPr>
      </w:pPr>
    </w:p>
    <w:p w:rsidR="005068AF" w:rsidRDefault="005068AF" w:rsidP="005068AF">
      <w:pPr>
        <w:pStyle w:val="BodyText"/>
        <w:rPr>
          <w:rFonts w:ascii="Minion Pro" w:eastAsia="Minion Pro" w:hAnsi="Minion Pro" w:cs="Minion Pro"/>
          <w:b/>
          <w:bCs/>
          <w:color w:val="337AB7"/>
          <w:sz w:val="36"/>
          <w:szCs w:val="36"/>
        </w:rPr>
      </w:pPr>
      <w:r w:rsidRPr="005068AF">
        <w:rPr>
          <w:rFonts w:ascii="Minion Pro" w:eastAsia="Minion Pro" w:hAnsi="Minion Pro" w:cs="Minion Pro"/>
          <w:b/>
          <w:bCs/>
          <w:color w:val="337AB7"/>
          <w:sz w:val="36"/>
          <w:szCs w:val="36"/>
        </w:rPr>
        <w:t>The correlation between cluster seizures and findings of magnetic resonance imaging in drug refractory epilepsy patients</w:t>
      </w:r>
    </w:p>
    <w:p w:rsidR="00C74B74" w:rsidRDefault="00C74B74" w:rsidP="005068AF">
      <w:pPr>
        <w:pStyle w:val="BodyText"/>
        <w:rPr>
          <w:rFonts w:ascii="Minion Pro" w:eastAsia="Minion Pro" w:hAnsi="Minion Pro" w:cs="Minion Pro"/>
          <w:b/>
          <w:bCs/>
          <w:color w:val="337AB7"/>
          <w:sz w:val="36"/>
          <w:szCs w:val="36"/>
        </w:rPr>
      </w:pPr>
    </w:p>
    <w:p w:rsidR="00AE3E37" w:rsidRPr="00675C35" w:rsidRDefault="00675C35" w:rsidP="005068AF">
      <w:pPr>
        <w:pStyle w:val="BodyText"/>
        <w:rPr>
          <w:rFonts w:ascii="Arial" w:cs="Arial"/>
          <w:sz w:val="20"/>
        </w:rPr>
      </w:pPr>
      <w:bookmarkStart w:id="0" w:name="_GoBack"/>
      <w:proofErr w:type="spellStart"/>
      <w:r>
        <w:rPr>
          <w:rFonts w:ascii="Arial"/>
          <w:sz w:val="20"/>
        </w:rPr>
        <w:t>Seyed</w:t>
      </w:r>
      <w:proofErr w:type="spellEnd"/>
      <w:r>
        <w:rPr>
          <w:rFonts w:ascii="Arial"/>
          <w:sz w:val="20"/>
        </w:rPr>
        <w:t xml:space="preserve"> </w:t>
      </w:r>
      <w:proofErr w:type="spellStart"/>
      <w:r>
        <w:rPr>
          <w:rFonts w:ascii="Arial"/>
          <w:sz w:val="20"/>
        </w:rPr>
        <w:t>Navid</w:t>
      </w:r>
      <w:proofErr w:type="spellEnd"/>
      <w:r>
        <w:rPr>
          <w:rFonts w:ascii="Arial"/>
          <w:sz w:val="20"/>
        </w:rPr>
        <w:t xml:space="preserve"> </w:t>
      </w:r>
      <w:proofErr w:type="spellStart"/>
      <w:proofErr w:type="gramStart"/>
      <w:r>
        <w:rPr>
          <w:rFonts w:ascii="Arial"/>
          <w:sz w:val="20"/>
        </w:rPr>
        <w:t>Naghibi</w:t>
      </w:r>
      <w:proofErr w:type="spellEnd"/>
      <w:r>
        <w:rPr>
          <w:rFonts w:ascii="Arial" w:hint="cs"/>
          <w:sz w:val="20"/>
          <w:rtl/>
        </w:rPr>
        <w:t xml:space="preserve"> </w:t>
      </w:r>
      <w:bookmarkEnd w:id="0"/>
      <w:r>
        <w:rPr>
          <w:rFonts w:ascii="Arial" w:cs="Arial"/>
          <w:sz w:val="20"/>
        </w:rPr>
        <w:t>,</w:t>
      </w:r>
      <w:proofErr w:type="gramEnd"/>
      <w:r>
        <w:rPr>
          <w:rFonts w:ascii="Arial" w:cs="Arial"/>
          <w:sz w:val="20"/>
        </w:rPr>
        <w:t xml:space="preserve"> </w:t>
      </w:r>
      <w:proofErr w:type="spellStart"/>
      <w:r>
        <w:rPr>
          <w:rFonts w:ascii="Arial" w:cs="Arial"/>
          <w:sz w:val="20"/>
        </w:rPr>
        <w:t>MD,</w:t>
      </w:r>
      <w:r w:rsidR="00DC0CE6">
        <w:rPr>
          <w:rFonts w:ascii="Arial" w:cs="Arial"/>
          <w:sz w:val="20"/>
        </w:rPr>
        <w:t>Neurologist</w:t>
      </w:r>
      <w:proofErr w:type="spellEnd"/>
      <w:r w:rsidR="00DC0CE6">
        <w:rPr>
          <w:rFonts w:ascii="Arial" w:cs="Arial"/>
          <w:sz w:val="20"/>
        </w:rPr>
        <w:t xml:space="preserve">, Fellowship </w:t>
      </w:r>
      <w:r>
        <w:rPr>
          <w:rFonts w:ascii="Arial" w:cs="Arial"/>
          <w:sz w:val="20"/>
        </w:rPr>
        <w:t>Of Epilepsy, Iran , Isfahan</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Pr="00E363B5" w:rsidRDefault="00A9710C" w:rsidP="00675C35">
      <w:pPr>
        <w:pStyle w:val="Heading3"/>
        <w:spacing w:before="147"/>
        <w:jc w:val="both"/>
        <w:rPr>
          <w:rFonts w:ascii="Times New Roman" w:eastAsiaTheme="majorEastAsia" w:hAnsi="Times New Roman" w:cs="Times New Roman"/>
          <w:sz w:val="24"/>
          <w:szCs w:val="24"/>
          <w:lang w:val="en-IN"/>
        </w:rPr>
      </w:pPr>
      <w:r w:rsidRPr="00E363B5">
        <w:rPr>
          <w:rFonts w:ascii="Times New Roman" w:eastAsiaTheme="majorEastAsia" w:hAnsi="Times New Roman" w:cs="Times New Roman"/>
          <w:sz w:val="24"/>
          <w:szCs w:val="24"/>
          <w:lang w:val="en-IN"/>
        </w:rPr>
        <w:lastRenderedPageBreak/>
        <w:t>Abstract</w:t>
      </w:r>
      <w:r w:rsidR="00404E5B" w:rsidRPr="00E363B5">
        <w:rPr>
          <w:rFonts w:ascii="Times New Roman" w:eastAsiaTheme="majorEastAsia" w:hAnsi="Times New Roman" w:cs="Times New Roman"/>
          <w:sz w:val="24"/>
          <w:szCs w:val="24"/>
          <w:lang w:val="en-IN"/>
        </w:rPr>
        <w:t xml:space="preserve"> </w:t>
      </w:r>
    </w:p>
    <w:p w:rsidR="005068AF" w:rsidRPr="005068AF" w:rsidRDefault="005068AF" w:rsidP="005068AF">
      <w:pPr>
        <w:widowControl/>
        <w:autoSpaceDE w:val="0"/>
        <w:autoSpaceDN w:val="0"/>
        <w:adjustRightInd w:val="0"/>
        <w:rPr>
          <w:rFonts w:ascii="Franklin Gothic Book" w:eastAsiaTheme="minorHAnsi" w:hAnsi="Franklin Gothic Book" w:cs="Franklin Gothic Book"/>
          <w:color w:val="000000"/>
          <w:sz w:val="24"/>
          <w:szCs w:val="24"/>
        </w:rPr>
      </w:pPr>
    </w:p>
    <w:p w:rsidR="00E363B5" w:rsidRPr="00E363B5" w:rsidRDefault="00E363B5" w:rsidP="00E363B5">
      <w:pPr>
        <w:pStyle w:val="Heading3"/>
        <w:spacing w:before="74"/>
        <w:jc w:val="both"/>
        <w:rPr>
          <w:rFonts w:ascii="Times New Roman" w:eastAsia="Tw Cen MT" w:hAnsi="Times New Roman" w:cs="Times New Roman"/>
          <w:b w:val="0"/>
          <w:bCs w:val="0"/>
          <w:szCs w:val="24"/>
        </w:rPr>
      </w:pPr>
      <w:r w:rsidRPr="00E363B5">
        <w:rPr>
          <w:rFonts w:ascii="Times New Roman" w:eastAsia="Tw Cen MT" w:hAnsi="Times New Roman" w:cs="Times New Roman"/>
          <w:b w:val="0"/>
          <w:bCs w:val="0"/>
          <w:szCs w:val="24"/>
        </w:rPr>
        <w:t>Epilepsy is one of the most common neurological disorders around the world, and about a quarter of all epilepsy patients are women of reproductive age, so managing epilepsy in women of reproductive age is extremely important.</w:t>
      </w:r>
    </w:p>
    <w:p w:rsidR="00E363B5" w:rsidRPr="00E363B5" w:rsidRDefault="00E363B5" w:rsidP="00E363B5">
      <w:pPr>
        <w:pStyle w:val="Heading3"/>
        <w:spacing w:before="74"/>
        <w:jc w:val="both"/>
        <w:rPr>
          <w:rFonts w:ascii="Times New Roman" w:eastAsia="Tw Cen MT" w:hAnsi="Times New Roman" w:cs="Times New Roman"/>
          <w:b w:val="0"/>
          <w:bCs w:val="0"/>
          <w:szCs w:val="24"/>
        </w:rPr>
      </w:pPr>
      <w:proofErr w:type="spellStart"/>
      <w:r w:rsidRPr="00E363B5">
        <w:rPr>
          <w:rFonts w:ascii="Times New Roman" w:eastAsia="Tw Cen MT" w:hAnsi="Times New Roman" w:cs="Times New Roman"/>
          <w:b w:val="0"/>
          <w:bCs w:val="0"/>
          <w:szCs w:val="24"/>
        </w:rPr>
        <w:t>Neuroendocrinological</w:t>
      </w:r>
      <w:proofErr w:type="spellEnd"/>
      <w:r w:rsidRPr="00E363B5">
        <w:rPr>
          <w:rFonts w:ascii="Times New Roman" w:eastAsia="Tw Cen MT" w:hAnsi="Times New Roman" w:cs="Times New Roman"/>
          <w:b w:val="0"/>
          <w:bCs w:val="0"/>
          <w:szCs w:val="24"/>
        </w:rPr>
        <w:t xml:space="preserve"> differences between men and women affect epilepsy and epilepsy itself in women and Men are associated with sex-related complications. On the other hand, in women, issues related to fertility, marriage, Pregnancy, breastfeeding, bone health, etc. are very important points that should always be considered by the treating physician.</w:t>
      </w:r>
    </w:p>
    <w:p w:rsidR="00E363B5" w:rsidRPr="00E363B5" w:rsidRDefault="00E363B5" w:rsidP="00E363B5">
      <w:pPr>
        <w:pStyle w:val="Heading3"/>
        <w:spacing w:before="74"/>
        <w:jc w:val="both"/>
        <w:rPr>
          <w:rFonts w:ascii="Times New Roman" w:eastAsia="Tw Cen MT" w:hAnsi="Times New Roman" w:cs="Times New Roman"/>
          <w:b w:val="0"/>
          <w:bCs w:val="0"/>
          <w:szCs w:val="24"/>
        </w:rPr>
      </w:pPr>
      <w:r w:rsidRPr="00E363B5">
        <w:rPr>
          <w:rFonts w:ascii="Times New Roman" w:eastAsia="Tw Cen MT" w:hAnsi="Times New Roman" w:cs="Times New Roman"/>
          <w:b w:val="0"/>
          <w:bCs w:val="0"/>
          <w:szCs w:val="24"/>
        </w:rPr>
        <w:t xml:space="preserve">Although the majority of women with epilepsy will have a normal and safe pregnancy, in order to have a safe pregnancy in women with epilepsy, pre-pregnancy care should include trying to fully control seizures with the minimum dose and number of </w:t>
      </w:r>
      <w:proofErr w:type="spellStart"/>
      <w:r w:rsidRPr="00E363B5">
        <w:rPr>
          <w:rFonts w:ascii="Times New Roman" w:eastAsia="Tw Cen MT" w:hAnsi="Times New Roman" w:cs="Times New Roman"/>
          <w:b w:val="0"/>
          <w:bCs w:val="0"/>
          <w:szCs w:val="24"/>
        </w:rPr>
        <w:t>antiseizure</w:t>
      </w:r>
      <w:proofErr w:type="spellEnd"/>
      <w:r w:rsidRPr="00E363B5">
        <w:rPr>
          <w:rFonts w:ascii="Times New Roman" w:eastAsia="Tw Cen MT" w:hAnsi="Times New Roman" w:cs="Times New Roman"/>
          <w:b w:val="0"/>
          <w:bCs w:val="0"/>
          <w:szCs w:val="24"/>
        </w:rPr>
        <w:t xml:space="preserve"> medications (ASMs) and choosing the medication with the least side effects on the mother and the fetus, choose the appropriate contraceptive method and use folic acid supplements.</w:t>
      </w:r>
    </w:p>
    <w:p w:rsidR="00E363B5" w:rsidRPr="00E363B5" w:rsidRDefault="00E363B5" w:rsidP="00E363B5">
      <w:pPr>
        <w:pStyle w:val="Heading3"/>
        <w:spacing w:before="74"/>
        <w:jc w:val="both"/>
        <w:rPr>
          <w:rFonts w:ascii="Times New Roman" w:eastAsia="Tw Cen MT" w:hAnsi="Times New Roman" w:cs="Times New Roman"/>
          <w:b w:val="0"/>
          <w:bCs w:val="0"/>
          <w:szCs w:val="24"/>
        </w:rPr>
      </w:pPr>
      <w:r w:rsidRPr="00E363B5">
        <w:rPr>
          <w:rFonts w:ascii="Times New Roman" w:eastAsia="Tw Cen MT" w:hAnsi="Times New Roman" w:cs="Times New Roman"/>
          <w:b w:val="0"/>
          <w:bCs w:val="0"/>
          <w:szCs w:val="24"/>
        </w:rPr>
        <w:t xml:space="preserve">During pregnancy, the monitoring of the serum level of many </w:t>
      </w:r>
      <w:proofErr w:type="spellStart"/>
      <w:r w:rsidRPr="00E363B5">
        <w:rPr>
          <w:rFonts w:ascii="Times New Roman" w:eastAsia="Tw Cen MT" w:hAnsi="Times New Roman" w:cs="Times New Roman"/>
          <w:b w:val="0"/>
          <w:bCs w:val="0"/>
          <w:szCs w:val="24"/>
        </w:rPr>
        <w:t>antiseizure</w:t>
      </w:r>
      <w:proofErr w:type="spellEnd"/>
      <w:r w:rsidRPr="00E363B5">
        <w:rPr>
          <w:rFonts w:ascii="Times New Roman" w:eastAsia="Tw Cen MT" w:hAnsi="Times New Roman" w:cs="Times New Roman"/>
          <w:b w:val="0"/>
          <w:bCs w:val="0"/>
          <w:szCs w:val="24"/>
        </w:rPr>
        <w:t xml:space="preserve"> medications should be done regularly, and proper screening should be done in terms of </w:t>
      </w:r>
      <w:proofErr w:type="spellStart"/>
      <w:r w:rsidRPr="00E363B5">
        <w:rPr>
          <w:rFonts w:ascii="Times New Roman" w:eastAsia="Tw Cen MT" w:hAnsi="Times New Roman" w:cs="Times New Roman"/>
          <w:b w:val="0"/>
          <w:bCs w:val="0"/>
          <w:szCs w:val="24"/>
        </w:rPr>
        <w:t>teratogenic</w:t>
      </w:r>
      <w:proofErr w:type="spellEnd"/>
      <w:r w:rsidRPr="00E363B5">
        <w:rPr>
          <w:rFonts w:ascii="Times New Roman" w:eastAsia="Tw Cen MT" w:hAnsi="Times New Roman" w:cs="Times New Roman"/>
          <w:b w:val="0"/>
          <w:bCs w:val="0"/>
          <w:szCs w:val="24"/>
        </w:rPr>
        <w:t xml:space="preserve"> effects of </w:t>
      </w:r>
      <w:proofErr w:type="spellStart"/>
      <w:r w:rsidRPr="00E363B5">
        <w:rPr>
          <w:rFonts w:ascii="Times New Roman" w:eastAsia="Tw Cen MT" w:hAnsi="Times New Roman" w:cs="Times New Roman"/>
          <w:b w:val="0"/>
          <w:bCs w:val="0"/>
          <w:szCs w:val="24"/>
        </w:rPr>
        <w:t>antiseizure</w:t>
      </w:r>
      <w:proofErr w:type="spellEnd"/>
      <w:r w:rsidRPr="00E363B5">
        <w:rPr>
          <w:rFonts w:ascii="Times New Roman" w:eastAsia="Tw Cen MT" w:hAnsi="Times New Roman" w:cs="Times New Roman"/>
          <w:b w:val="0"/>
          <w:bCs w:val="0"/>
          <w:szCs w:val="24"/>
        </w:rPr>
        <w:t xml:space="preserve"> medications, in cooperation with a </w:t>
      </w:r>
      <w:proofErr w:type="spellStart"/>
      <w:r w:rsidRPr="00E363B5">
        <w:rPr>
          <w:rFonts w:ascii="Times New Roman" w:eastAsia="Tw Cen MT" w:hAnsi="Times New Roman" w:cs="Times New Roman"/>
          <w:b w:val="0"/>
          <w:bCs w:val="0"/>
          <w:szCs w:val="24"/>
        </w:rPr>
        <w:t>perinatologist</w:t>
      </w:r>
      <w:proofErr w:type="spellEnd"/>
      <w:r w:rsidRPr="00E363B5">
        <w:rPr>
          <w:rFonts w:ascii="Times New Roman" w:eastAsia="Tw Cen MT" w:hAnsi="Times New Roman" w:cs="Times New Roman"/>
          <w:b w:val="0"/>
          <w:bCs w:val="0"/>
          <w:szCs w:val="24"/>
        </w:rPr>
        <w:t>. In the vast majority of pregnant women with epilepsy, the choice of delivery method is based on obstetric criteria.</w:t>
      </w:r>
    </w:p>
    <w:p w:rsidR="00AE3E37" w:rsidRDefault="00E363B5" w:rsidP="00E363B5">
      <w:pPr>
        <w:pStyle w:val="Heading3"/>
        <w:spacing w:before="74"/>
        <w:jc w:val="both"/>
        <w:rPr>
          <w:color w:val="BF5A14"/>
          <w:rtl/>
        </w:rPr>
      </w:pPr>
      <w:r w:rsidRPr="00E363B5">
        <w:rPr>
          <w:rFonts w:ascii="Times New Roman" w:eastAsia="Tw Cen MT" w:hAnsi="Times New Roman" w:cs="Times New Roman"/>
          <w:b w:val="0"/>
          <w:bCs w:val="0"/>
          <w:szCs w:val="24"/>
        </w:rPr>
        <w:t xml:space="preserve">In the absolute majority of cases, the benefits of breastfeeding for the baby and the mother are much greater than the risk of drug transfer through breast milk, so breastfeeding is recommended in most cases. </w:t>
      </w:r>
      <w:proofErr w:type="gramStart"/>
      <w:r w:rsidRPr="00E363B5">
        <w:rPr>
          <w:rFonts w:ascii="Times New Roman" w:eastAsia="Tw Cen MT" w:hAnsi="Times New Roman" w:cs="Times New Roman"/>
          <w:b w:val="0"/>
          <w:bCs w:val="0"/>
          <w:szCs w:val="24"/>
        </w:rPr>
        <w:t>however</w:t>
      </w:r>
      <w:proofErr w:type="gramEnd"/>
      <w:r w:rsidRPr="00E363B5">
        <w:rPr>
          <w:rFonts w:ascii="Times New Roman" w:eastAsia="Tw Cen MT" w:hAnsi="Times New Roman" w:cs="Times New Roman"/>
          <w:b w:val="0"/>
          <w:bCs w:val="0"/>
          <w:szCs w:val="24"/>
        </w:rPr>
        <w:t>, the baby should be carefully monitored for signs of drug poisoning</w:t>
      </w:r>
      <w:r w:rsidR="005068AF" w:rsidRPr="00E363B5">
        <w:rPr>
          <w:rFonts w:ascii="Times New Roman" w:eastAsia="Tw Cen MT" w:hAnsi="Times New Roman" w:cs="Times New Roman"/>
          <w:b w:val="0"/>
          <w:bCs w:val="0"/>
          <w:szCs w:val="24"/>
        </w:rPr>
        <w:t>.</w:t>
      </w:r>
      <w:r w:rsidR="00A9710C">
        <w:rPr>
          <w:b w:val="0"/>
        </w:rPr>
        <w:br w:type="column"/>
      </w:r>
    </w:p>
    <w:p w:rsidR="00E363B5" w:rsidRPr="00675C35" w:rsidRDefault="00E363B5" w:rsidP="00E363B5">
      <w:pPr>
        <w:pStyle w:val="Heading3"/>
        <w:spacing w:before="74"/>
        <w:jc w:val="both"/>
        <w:rPr>
          <w:rFonts w:ascii="Tw Cen MT" w:eastAsia="Tw Cen MT" w:hAnsi="Tw Cen MT" w:cs="Tw Cen MT"/>
          <w:b w:val="0"/>
          <w:bCs w:val="0"/>
          <w:sz w:val="18"/>
          <w:szCs w:val="18"/>
        </w:rPr>
      </w:pPr>
      <w:r>
        <w:rPr>
          <w:noProof/>
          <w:lang w:val="en-IN" w:eastAsia="en-IN"/>
        </w:rPr>
        <w:drawing>
          <wp:inline distT="0" distB="0" distL="0" distR="0" wp14:anchorId="413AE870" wp14:editId="2F35D03F">
            <wp:extent cx="3165475" cy="1779905"/>
            <wp:effectExtent l="19050" t="19050" r="15875" b="1079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165475" cy="1779905"/>
                    </a:xfrm>
                    <a:prstGeom prst="rect">
                      <a:avLst/>
                    </a:prstGeom>
                    <a:ln>
                      <a:solidFill>
                        <a:schemeClr val="tx1"/>
                      </a:solidFill>
                    </a:ln>
                  </pic:spPr>
                </pic:pic>
              </a:graphicData>
            </a:graphic>
          </wp:inline>
        </w:drawing>
      </w:r>
    </w:p>
    <w:p w:rsidR="00AE3E37" w:rsidRDefault="00AE3E37" w:rsidP="00E81C3D">
      <w:pPr>
        <w:pStyle w:val="BodyText"/>
        <w:spacing w:before="2"/>
        <w:jc w:val="center"/>
        <w:rPr>
          <w:rFonts w:ascii="Arial"/>
          <w:b/>
          <w:sz w:val="16"/>
        </w:rPr>
      </w:pPr>
    </w:p>
    <w:p w:rsidR="00E37F78" w:rsidRPr="00E37F78" w:rsidRDefault="00E363B5" w:rsidP="00E363B5">
      <w:pPr>
        <w:spacing w:line="204" w:lineRule="exact"/>
        <w:jc w:val="center"/>
        <w:rPr>
          <w:rFonts w:asciiTheme="minorHAnsi" w:hAnsiTheme="minorHAnsi" w:cstheme="minorHAnsi"/>
          <w:bCs/>
          <w:color w:val="BF5A14"/>
          <w:sz w:val="20"/>
        </w:rPr>
      </w:pPr>
      <w:r w:rsidRPr="00E04DFF">
        <w:rPr>
          <w:rFonts w:ascii="Times New Roman" w:hAnsi="Times New Roman" w:cs="Times New Roman"/>
          <w:b/>
          <w:i/>
          <w:sz w:val="18"/>
          <w:szCs w:val="24"/>
          <w:lang w:val="en-IN"/>
        </w:rPr>
        <w:t>Figure 1. </w:t>
      </w:r>
      <w:r w:rsidRPr="00E363B5">
        <w:rPr>
          <w:rFonts w:ascii="Times New Roman" w:eastAsiaTheme="minorHAnsi" w:hAnsi="Times New Roman" w:cs="Times New Roman"/>
          <w:i/>
          <w:sz w:val="18"/>
          <w:szCs w:val="24"/>
          <w:lang w:val="en-IN"/>
        </w:rPr>
        <w:t>Relative Timing and Developmental Pathology of Certain Major Congenital Malformations</w:t>
      </w:r>
      <w:r w:rsidR="005973B9" w:rsidRPr="00E37F78">
        <w:rPr>
          <w:rFonts w:asciiTheme="minorHAnsi" w:hAnsiTheme="minorHAnsi" w:cstheme="minorHAnsi"/>
          <w:bCs/>
          <w:color w:val="BF5A14"/>
          <w:sz w:val="20"/>
        </w:rPr>
        <w:br/>
      </w:r>
    </w:p>
    <w:p w:rsidR="005973B9" w:rsidRPr="00E363B5" w:rsidRDefault="00E363B5" w:rsidP="00E363B5">
      <w:pPr>
        <w:widowControl/>
        <w:spacing w:after="200" w:line="276" w:lineRule="auto"/>
        <w:rPr>
          <w:rFonts w:ascii="Times New Roman" w:eastAsiaTheme="minorHAnsi" w:hAnsi="Times New Roman" w:cs="Times New Roman"/>
          <w:b/>
          <w:sz w:val="24"/>
          <w:szCs w:val="24"/>
          <w:lang w:val="es-US"/>
        </w:rPr>
      </w:pPr>
      <w:r w:rsidRPr="00E363B5">
        <w:rPr>
          <w:rFonts w:ascii="Times New Roman" w:eastAsiaTheme="minorHAnsi" w:hAnsi="Times New Roman" w:cs="Times New Roman"/>
          <w:b/>
          <w:sz w:val="24"/>
          <w:szCs w:val="24"/>
          <w:lang w:val="es-US"/>
        </w:rPr>
        <w:t xml:space="preserve">References </w:t>
      </w:r>
    </w:p>
    <w:p w:rsidR="00A86EFD" w:rsidRDefault="00E363B5" w:rsidP="00E363B5">
      <w:pPr>
        <w:pStyle w:val="ListParagraph"/>
        <w:numPr>
          <w:ilvl w:val="0"/>
          <w:numId w:val="3"/>
        </w:numPr>
        <w:tabs>
          <w:tab w:val="left" w:pos="384"/>
        </w:tabs>
        <w:spacing w:line="216" w:lineRule="exact"/>
        <w:ind w:right="138"/>
        <w:rPr>
          <w:sz w:val="18"/>
        </w:rPr>
      </w:pPr>
      <w:proofErr w:type="spellStart"/>
      <w:r w:rsidRPr="00E363B5">
        <w:rPr>
          <w:sz w:val="18"/>
        </w:rPr>
        <w:t>Tomson</w:t>
      </w:r>
      <w:proofErr w:type="spellEnd"/>
      <w:r w:rsidRPr="00E363B5">
        <w:rPr>
          <w:sz w:val="18"/>
        </w:rPr>
        <w:t xml:space="preserve"> T, </w:t>
      </w:r>
      <w:proofErr w:type="spellStart"/>
      <w:r w:rsidRPr="00E363B5">
        <w:rPr>
          <w:sz w:val="18"/>
        </w:rPr>
        <w:t>Battino</w:t>
      </w:r>
      <w:proofErr w:type="spellEnd"/>
      <w:r w:rsidRPr="00E363B5">
        <w:rPr>
          <w:sz w:val="18"/>
        </w:rPr>
        <w:t xml:space="preserve"> D, </w:t>
      </w:r>
      <w:proofErr w:type="spellStart"/>
      <w:r w:rsidRPr="00E363B5">
        <w:rPr>
          <w:sz w:val="18"/>
        </w:rPr>
        <w:t>Perucca</w:t>
      </w:r>
      <w:proofErr w:type="spellEnd"/>
      <w:r w:rsidRPr="00E363B5">
        <w:rPr>
          <w:sz w:val="18"/>
        </w:rPr>
        <w:t xml:space="preserve"> E. The remarkable story of </w:t>
      </w:r>
      <w:proofErr w:type="spellStart"/>
      <w:r w:rsidRPr="00E363B5">
        <w:rPr>
          <w:sz w:val="18"/>
        </w:rPr>
        <w:t>valproic</w:t>
      </w:r>
      <w:proofErr w:type="spellEnd"/>
      <w:r w:rsidRPr="00E363B5">
        <w:rPr>
          <w:sz w:val="18"/>
        </w:rPr>
        <w:t xml:space="preserve"> acid. Lancet</w:t>
      </w:r>
      <w:r>
        <w:rPr>
          <w:sz w:val="18"/>
        </w:rPr>
        <w:t xml:space="preserve"> </w:t>
      </w:r>
      <w:proofErr w:type="spellStart"/>
      <w:r w:rsidRPr="00E363B5">
        <w:rPr>
          <w:sz w:val="18"/>
        </w:rPr>
        <w:t>Neurol</w:t>
      </w:r>
      <w:proofErr w:type="spellEnd"/>
      <w:r w:rsidRPr="00E363B5">
        <w:rPr>
          <w:sz w:val="18"/>
        </w:rPr>
        <w:t xml:space="preserve"> 2016</w:t>
      </w:r>
      <w:proofErr w:type="gramStart"/>
      <w:r w:rsidRPr="00E363B5">
        <w:rPr>
          <w:sz w:val="18"/>
        </w:rPr>
        <w:t>;15</w:t>
      </w:r>
      <w:proofErr w:type="gramEnd"/>
      <w:r w:rsidRPr="00E363B5">
        <w:rPr>
          <w:sz w:val="18"/>
        </w:rPr>
        <w:t>(2):141.</w:t>
      </w:r>
    </w:p>
    <w:p w:rsidR="00A86EFD" w:rsidRDefault="00A86EFD" w:rsidP="00A86EFD">
      <w:pPr>
        <w:pStyle w:val="ListParagraph"/>
        <w:numPr>
          <w:ilvl w:val="0"/>
          <w:numId w:val="3"/>
        </w:numPr>
        <w:tabs>
          <w:tab w:val="left" w:pos="384"/>
        </w:tabs>
        <w:spacing w:line="216" w:lineRule="exact"/>
        <w:ind w:right="138"/>
        <w:rPr>
          <w:sz w:val="18"/>
        </w:rPr>
      </w:pPr>
      <w:r w:rsidRPr="00A86EFD">
        <w:rPr>
          <w:sz w:val="18"/>
        </w:rPr>
        <w:t>Meador KJ. Cognitive effects of epilepsy and its treatments, Chapter 93. In:</w:t>
      </w:r>
      <w:r>
        <w:rPr>
          <w:sz w:val="18"/>
        </w:rPr>
        <w:t xml:space="preserve"> </w:t>
      </w:r>
      <w:r w:rsidRPr="00A86EFD">
        <w:rPr>
          <w:sz w:val="18"/>
        </w:rPr>
        <w:t xml:space="preserve">Wyllie E, </w:t>
      </w:r>
      <w:proofErr w:type="spellStart"/>
      <w:r w:rsidRPr="00A86EFD">
        <w:rPr>
          <w:sz w:val="18"/>
        </w:rPr>
        <w:t>Cascin</w:t>
      </w:r>
      <w:r>
        <w:rPr>
          <w:sz w:val="18"/>
        </w:rPr>
        <w:t>o</w:t>
      </w:r>
      <w:proofErr w:type="spellEnd"/>
      <w:r>
        <w:rPr>
          <w:sz w:val="18"/>
        </w:rPr>
        <w:t xml:space="preserve"> GD, </w:t>
      </w:r>
      <w:proofErr w:type="spellStart"/>
      <w:r>
        <w:rPr>
          <w:sz w:val="18"/>
        </w:rPr>
        <w:t>Gidal</w:t>
      </w:r>
      <w:proofErr w:type="spellEnd"/>
      <w:r>
        <w:rPr>
          <w:sz w:val="18"/>
        </w:rPr>
        <w:t xml:space="preserve"> BE, et al, editors. </w:t>
      </w:r>
      <w:r w:rsidRPr="00A86EFD">
        <w:rPr>
          <w:sz w:val="18"/>
        </w:rPr>
        <w:t>Wyllie’s treatment of epilepsy: principles</w:t>
      </w:r>
      <w:r>
        <w:rPr>
          <w:sz w:val="18"/>
        </w:rPr>
        <w:t xml:space="preserve"> &amp; practice. 7th Edition. </w:t>
      </w:r>
      <w:r w:rsidRPr="00A86EFD">
        <w:rPr>
          <w:sz w:val="18"/>
        </w:rPr>
        <w:t>Philadelphia: Lippincott Williams &amp; Wilkins; 2020.p. 1058–63.</w:t>
      </w:r>
    </w:p>
    <w:p w:rsidR="009958CB" w:rsidRPr="00A86EFD" w:rsidRDefault="00A86EFD" w:rsidP="00A86EFD">
      <w:pPr>
        <w:pStyle w:val="ListParagraph"/>
        <w:numPr>
          <w:ilvl w:val="0"/>
          <w:numId w:val="3"/>
        </w:numPr>
        <w:tabs>
          <w:tab w:val="left" w:pos="384"/>
        </w:tabs>
        <w:spacing w:line="216" w:lineRule="exact"/>
        <w:ind w:right="138"/>
        <w:rPr>
          <w:sz w:val="18"/>
        </w:rPr>
      </w:pPr>
      <w:r w:rsidRPr="00A86EFD">
        <w:rPr>
          <w:sz w:val="18"/>
        </w:rPr>
        <w:t xml:space="preserve">Kellogg MA, Meador KJ. Neurodevelopmental effects of antiepileptic drugs. </w:t>
      </w:r>
      <w:proofErr w:type="spellStart"/>
      <w:r w:rsidRPr="00A86EFD">
        <w:rPr>
          <w:sz w:val="18"/>
        </w:rPr>
        <w:t>Neurochem</w:t>
      </w:r>
      <w:proofErr w:type="spellEnd"/>
      <w:r>
        <w:rPr>
          <w:sz w:val="18"/>
        </w:rPr>
        <w:t xml:space="preserve"> Res 2017</w:t>
      </w:r>
      <w:proofErr w:type="gramStart"/>
      <w:r>
        <w:rPr>
          <w:sz w:val="18"/>
        </w:rPr>
        <w:t>;42</w:t>
      </w:r>
      <w:proofErr w:type="gramEnd"/>
      <w:r>
        <w:rPr>
          <w:sz w:val="18"/>
        </w:rPr>
        <w:t>(7):2065–70</w:t>
      </w:r>
      <w:r w:rsidR="009958CB" w:rsidRPr="00A86EFD">
        <w:rPr>
          <w:sz w:val="18"/>
        </w:rPr>
        <w:t>.</w:t>
      </w:r>
    </w:p>
    <w:p w:rsidR="00A86EFD" w:rsidRDefault="00A86EFD" w:rsidP="00A86EFD">
      <w:pPr>
        <w:pStyle w:val="ListParagraph"/>
        <w:numPr>
          <w:ilvl w:val="0"/>
          <w:numId w:val="3"/>
        </w:numPr>
        <w:tabs>
          <w:tab w:val="left" w:pos="384"/>
        </w:tabs>
        <w:spacing w:before="85" w:line="216" w:lineRule="exact"/>
        <w:ind w:right="138"/>
        <w:rPr>
          <w:sz w:val="18"/>
          <w:szCs w:val="18"/>
        </w:rPr>
      </w:pPr>
      <w:proofErr w:type="spellStart"/>
      <w:r w:rsidRPr="00A86EFD">
        <w:rPr>
          <w:sz w:val="18"/>
          <w:szCs w:val="18"/>
        </w:rPr>
        <w:t>Tomson</w:t>
      </w:r>
      <w:proofErr w:type="spellEnd"/>
      <w:r w:rsidRPr="00A86EFD">
        <w:rPr>
          <w:sz w:val="18"/>
          <w:szCs w:val="18"/>
        </w:rPr>
        <w:t xml:space="preserve"> T, </w:t>
      </w:r>
      <w:proofErr w:type="spellStart"/>
      <w:r w:rsidRPr="00A86EFD">
        <w:rPr>
          <w:sz w:val="18"/>
          <w:szCs w:val="18"/>
        </w:rPr>
        <w:t>Battino</w:t>
      </w:r>
      <w:proofErr w:type="spellEnd"/>
      <w:r w:rsidRPr="00A86EFD">
        <w:rPr>
          <w:sz w:val="18"/>
          <w:szCs w:val="18"/>
        </w:rPr>
        <w:t xml:space="preserve"> D, </w:t>
      </w:r>
      <w:proofErr w:type="spellStart"/>
      <w:r w:rsidRPr="00A86EFD">
        <w:rPr>
          <w:sz w:val="18"/>
          <w:szCs w:val="18"/>
        </w:rPr>
        <w:t>Bonizzoni</w:t>
      </w:r>
      <w:proofErr w:type="spellEnd"/>
      <w:r w:rsidRPr="00A86EFD">
        <w:rPr>
          <w:sz w:val="18"/>
          <w:szCs w:val="18"/>
        </w:rPr>
        <w:t xml:space="preserve"> E, et al. Comparative risk of major congenital malformations</w:t>
      </w:r>
      <w:r>
        <w:rPr>
          <w:sz w:val="18"/>
          <w:szCs w:val="18"/>
        </w:rPr>
        <w:t xml:space="preserve"> </w:t>
      </w:r>
      <w:r w:rsidRPr="00A86EFD">
        <w:rPr>
          <w:sz w:val="18"/>
          <w:szCs w:val="18"/>
        </w:rPr>
        <w:t>with eight different antiepileptic drugs: a prospective cohort study of</w:t>
      </w:r>
      <w:r>
        <w:rPr>
          <w:sz w:val="18"/>
          <w:szCs w:val="18"/>
        </w:rPr>
        <w:t xml:space="preserve"> </w:t>
      </w:r>
      <w:r w:rsidRPr="00A86EFD">
        <w:rPr>
          <w:sz w:val="18"/>
          <w:szCs w:val="18"/>
        </w:rPr>
        <w:t xml:space="preserve">the EURAP registry. Lancet </w:t>
      </w:r>
      <w:proofErr w:type="spellStart"/>
      <w:r w:rsidRPr="00A86EFD">
        <w:rPr>
          <w:sz w:val="18"/>
          <w:szCs w:val="18"/>
        </w:rPr>
        <w:t>Neurol</w:t>
      </w:r>
      <w:proofErr w:type="spellEnd"/>
      <w:r w:rsidRPr="00A86EFD">
        <w:rPr>
          <w:sz w:val="18"/>
          <w:szCs w:val="18"/>
        </w:rPr>
        <w:t xml:space="preserve"> 2018</w:t>
      </w:r>
      <w:proofErr w:type="gramStart"/>
      <w:r w:rsidRPr="00A86EFD">
        <w:rPr>
          <w:sz w:val="18"/>
          <w:szCs w:val="18"/>
        </w:rPr>
        <w:t>;17</w:t>
      </w:r>
      <w:proofErr w:type="gramEnd"/>
      <w:r w:rsidRPr="00A86EFD">
        <w:rPr>
          <w:sz w:val="18"/>
          <w:szCs w:val="18"/>
        </w:rPr>
        <w:t>(6):530–8.</w:t>
      </w:r>
    </w:p>
    <w:p w:rsidR="00AE3E37" w:rsidRPr="00A86EFD" w:rsidRDefault="00A86EFD" w:rsidP="00A86EFD">
      <w:pPr>
        <w:pStyle w:val="ListParagraph"/>
        <w:numPr>
          <w:ilvl w:val="0"/>
          <w:numId w:val="3"/>
        </w:numPr>
        <w:tabs>
          <w:tab w:val="left" w:pos="384"/>
        </w:tabs>
        <w:spacing w:before="85" w:line="216" w:lineRule="exact"/>
        <w:ind w:right="138"/>
        <w:rPr>
          <w:sz w:val="18"/>
          <w:szCs w:val="18"/>
        </w:rPr>
        <w:sectPr w:rsidR="00AE3E37" w:rsidRPr="00A86EFD">
          <w:type w:val="continuous"/>
          <w:pgSz w:w="11910" w:h="16840"/>
          <w:pgMar w:top="1740" w:right="600" w:bottom="840" w:left="620" w:header="720" w:footer="720" w:gutter="0"/>
          <w:cols w:num="2" w:space="720" w:equalWidth="0">
            <w:col w:w="5214" w:space="138"/>
            <w:col w:w="5338"/>
          </w:cols>
        </w:sectPr>
      </w:pPr>
      <w:r w:rsidRPr="00A86EFD">
        <w:rPr>
          <w:sz w:val="18"/>
          <w:szCs w:val="18"/>
        </w:rPr>
        <w:t xml:space="preserve">Christensen J, </w:t>
      </w:r>
      <w:proofErr w:type="spellStart"/>
      <w:r w:rsidRPr="00A86EFD">
        <w:rPr>
          <w:sz w:val="18"/>
          <w:szCs w:val="18"/>
        </w:rPr>
        <w:t>Trabjerg</w:t>
      </w:r>
      <w:proofErr w:type="spellEnd"/>
      <w:r w:rsidRPr="00A86EFD">
        <w:rPr>
          <w:sz w:val="18"/>
          <w:szCs w:val="18"/>
        </w:rPr>
        <w:t xml:space="preserve"> BB, Sun</w:t>
      </w:r>
      <w:r>
        <w:rPr>
          <w:sz w:val="18"/>
          <w:szCs w:val="18"/>
        </w:rPr>
        <w:t xml:space="preserve"> Y, et al. Prenatal exposure to </w:t>
      </w:r>
      <w:r w:rsidRPr="00A86EFD">
        <w:rPr>
          <w:sz w:val="18"/>
          <w:szCs w:val="18"/>
        </w:rPr>
        <w:t>valproate and risk</w:t>
      </w:r>
      <w:r>
        <w:rPr>
          <w:sz w:val="18"/>
          <w:szCs w:val="18"/>
        </w:rPr>
        <w:t xml:space="preserve"> </w:t>
      </w:r>
      <w:r w:rsidRPr="00A86EFD">
        <w:rPr>
          <w:sz w:val="18"/>
          <w:szCs w:val="18"/>
        </w:rPr>
        <w:t>of congenital malformations-Could we have known earlier? A population-based</w:t>
      </w:r>
      <w:r>
        <w:rPr>
          <w:sz w:val="18"/>
          <w:szCs w:val="18"/>
        </w:rPr>
        <w:t xml:space="preserve"> </w:t>
      </w:r>
      <w:r w:rsidRPr="00A86EFD">
        <w:rPr>
          <w:sz w:val="18"/>
          <w:szCs w:val="18"/>
        </w:rPr>
        <w:t xml:space="preserve">cohort study. </w:t>
      </w:r>
      <w:proofErr w:type="spellStart"/>
      <w:r w:rsidRPr="00A86EFD">
        <w:rPr>
          <w:sz w:val="18"/>
          <w:szCs w:val="18"/>
        </w:rPr>
        <w:t>Epilepsia</w:t>
      </w:r>
      <w:proofErr w:type="spellEnd"/>
      <w:r w:rsidRPr="00A86EFD">
        <w:rPr>
          <w:sz w:val="18"/>
          <w:szCs w:val="18"/>
        </w:rPr>
        <w:t xml:space="preserve"> 2021</w:t>
      </w:r>
      <w:proofErr w:type="gramStart"/>
      <w:r w:rsidRPr="00A86EFD">
        <w:rPr>
          <w:sz w:val="18"/>
          <w:szCs w:val="18"/>
        </w:rPr>
        <w:t>;62</w:t>
      </w:r>
      <w:proofErr w:type="gramEnd"/>
      <w:r w:rsidRPr="00A86EFD">
        <w:rPr>
          <w:sz w:val="18"/>
          <w:szCs w:val="18"/>
        </w:rPr>
        <w:t>(12):2981–93.</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5="http://schemas.microsoft.com/office/word/2012/wordml">
            <w:pict>
              <v:group w14:anchorId="27B6002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2A196B" w:rsidRDefault="008756E6" w:rsidP="00404E5B">
      <w:pPr>
        <w:spacing w:before="92"/>
        <w:ind w:right="4234"/>
        <w:rPr>
          <w:noProof/>
        </w:rPr>
      </w:pPr>
      <w:r>
        <w:rPr>
          <w:noProof/>
        </w:rPr>
        <w:t xml:space="preserve">   </w:t>
      </w:r>
      <w:r w:rsidR="00A91B79" w:rsidRPr="00A91B79">
        <w:rPr>
          <w:noProof/>
          <w:lang w:val="en-IN" w:eastAsia="en-IN"/>
        </w:rPr>
        <w:drawing>
          <wp:inline distT="0" distB="0" distL="0" distR="0">
            <wp:extent cx="1083310" cy="1437005"/>
            <wp:effectExtent l="0" t="0" r="2540" b="0"/>
            <wp:docPr id="2" name="Picture 2" descr="C:\Users\rg\Desktop\042A5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g\Desktop\042A505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83310" cy="1437005"/>
                    </a:xfrm>
                    <a:prstGeom prst="rect">
                      <a:avLst/>
                    </a:prstGeom>
                    <a:noFill/>
                    <a:ln>
                      <a:noFill/>
                    </a:ln>
                  </pic:spPr>
                </pic:pic>
              </a:graphicData>
            </a:graphic>
          </wp:inline>
        </w:drawing>
      </w:r>
      <w:r>
        <w:rPr>
          <w:noProof/>
        </w:rPr>
        <w:t xml:space="preserve"> </w:t>
      </w:r>
      <w:r w:rsidR="002A196B">
        <w:rPr>
          <w:noProof/>
        </w:rPr>
        <w:t xml:space="preserve">  </w:t>
      </w:r>
    </w:p>
    <w:p w:rsidR="002A196B" w:rsidRDefault="002A196B" w:rsidP="00404E5B">
      <w:pPr>
        <w:spacing w:before="92"/>
        <w:ind w:right="4234"/>
        <w:rPr>
          <w:noProof/>
        </w:rPr>
      </w:pPr>
      <w:r>
        <w:rPr>
          <w:noProof/>
        </w:rPr>
        <w:t xml:space="preserve">   </w:t>
      </w:r>
    </w:p>
    <w:p w:rsidR="00AE3E37" w:rsidRDefault="002A196B"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p>
    <w:p w:rsidR="00AE3E37" w:rsidRDefault="006A689E">
      <w:pPr>
        <w:spacing w:before="41" w:line="154" w:lineRule="exact"/>
        <w:ind w:left="213" w:right="231"/>
        <w:jc w:val="both"/>
        <w:rPr>
          <w:rFonts w:ascii="Arial"/>
          <w:sz w:val="14"/>
        </w:rPr>
      </w:pPr>
      <w:proofErr w:type="spellStart"/>
      <w:r>
        <w:rPr>
          <w:rFonts w:ascii="Arial"/>
          <w:sz w:val="14"/>
        </w:rPr>
        <w:t>Seyed</w:t>
      </w:r>
      <w:proofErr w:type="spellEnd"/>
      <w:r>
        <w:rPr>
          <w:rFonts w:ascii="Arial"/>
          <w:sz w:val="14"/>
        </w:rPr>
        <w:t xml:space="preserve"> </w:t>
      </w:r>
      <w:proofErr w:type="spellStart"/>
      <w:r>
        <w:rPr>
          <w:rFonts w:ascii="Arial"/>
          <w:sz w:val="14"/>
        </w:rPr>
        <w:t>Navid</w:t>
      </w:r>
      <w:proofErr w:type="spellEnd"/>
      <w:r>
        <w:rPr>
          <w:rFonts w:ascii="Arial"/>
          <w:sz w:val="14"/>
        </w:rPr>
        <w:t xml:space="preserve"> </w:t>
      </w:r>
      <w:proofErr w:type="spellStart"/>
      <w:r>
        <w:rPr>
          <w:rFonts w:ascii="Arial"/>
          <w:sz w:val="14"/>
        </w:rPr>
        <w:t>Naghibi</w:t>
      </w:r>
      <w:proofErr w:type="spellEnd"/>
    </w:p>
    <w:p w:rsidR="006A689E" w:rsidRPr="006A689E" w:rsidRDefault="006A689E" w:rsidP="006A689E">
      <w:pPr>
        <w:spacing w:before="41" w:line="154" w:lineRule="exact"/>
        <w:ind w:left="213" w:right="231"/>
        <w:rPr>
          <w:rFonts w:ascii="Arial"/>
          <w:sz w:val="14"/>
        </w:rPr>
      </w:pPr>
      <w:r w:rsidRPr="006A689E">
        <w:rPr>
          <w:rFonts w:ascii="Arial"/>
          <w:sz w:val="14"/>
        </w:rPr>
        <w:t xml:space="preserve">Doctor of </w:t>
      </w:r>
      <w:proofErr w:type="gramStart"/>
      <w:r w:rsidRPr="006A689E">
        <w:rPr>
          <w:rFonts w:ascii="Arial"/>
          <w:sz w:val="14"/>
        </w:rPr>
        <w:t>Medicine :</w:t>
      </w:r>
      <w:proofErr w:type="gramEnd"/>
      <w:r w:rsidRPr="006A689E">
        <w:rPr>
          <w:rFonts w:ascii="Arial"/>
          <w:sz w:val="14"/>
        </w:rPr>
        <w:t xml:space="preserve"> Ahvaz Jundishapur University of Medical Sciences (1998-2006)</w:t>
      </w:r>
      <w:r>
        <w:rPr>
          <w:rFonts w:ascii="Arial"/>
          <w:sz w:val="14"/>
        </w:rPr>
        <w:t xml:space="preserve">. </w:t>
      </w:r>
      <w:r w:rsidRPr="006A689E">
        <w:rPr>
          <w:rFonts w:ascii="Arial"/>
          <w:sz w:val="14"/>
        </w:rPr>
        <w:t xml:space="preserve">Ranked 31th in the national </w:t>
      </w:r>
      <w:proofErr w:type="spellStart"/>
      <w:r w:rsidRPr="006A689E">
        <w:rPr>
          <w:rFonts w:ascii="Arial"/>
          <w:sz w:val="14"/>
        </w:rPr>
        <w:t>enterance</w:t>
      </w:r>
      <w:proofErr w:type="spellEnd"/>
      <w:r w:rsidRPr="006A689E">
        <w:rPr>
          <w:rFonts w:ascii="Arial"/>
          <w:sz w:val="14"/>
        </w:rPr>
        <w:t xml:space="preserve"> exam 1998 and member of National </w:t>
      </w:r>
      <w:r w:rsidRPr="006A689E">
        <w:rPr>
          <w:rFonts w:ascii="Arial"/>
          <w:sz w:val="14"/>
        </w:rPr>
        <w:lastRenderedPageBreak/>
        <w:t>Organization for Development of Exceptional Talents (NODET) .</w:t>
      </w:r>
      <w:proofErr w:type="spellStart"/>
      <w:r w:rsidRPr="006A689E">
        <w:rPr>
          <w:rFonts w:ascii="Arial"/>
          <w:sz w:val="14"/>
        </w:rPr>
        <w:t>Resindent</w:t>
      </w:r>
      <w:proofErr w:type="spellEnd"/>
      <w:r w:rsidRPr="006A689E">
        <w:rPr>
          <w:rFonts w:ascii="Arial"/>
          <w:sz w:val="14"/>
        </w:rPr>
        <w:t xml:space="preserve"> of Neurology at Ahvaz Jundishapur University of Medical Sciences (2006-2010</w:t>
      </w:r>
      <w:proofErr w:type="gramStart"/>
      <w:r w:rsidRPr="006A689E">
        <w:rPr>
          <w:rFonts w:ascii="Arial"/>
          <w:sz w:val="14"/>
        </w:rPr>
        <w:t>) .</w:t>
      </w:r>
      <w:proofErr w:type="gramEnd"/>
    </w:p>
    <w:p w:rsidR="006A689E" w:rsidRDefault="006A689E" w:rsidP="006A689E">
      <w:pPr>
        <w:spacing w:before="41" w:line="154" w:lineRule="exact"/>
        <w:ind w:left="213" w:right="231"/>
        <w:jc w:val="both"/>
        <w:rPr>
          <w:rFonts w:ascii="Arial"/>
          <w:sz w:val="14"/>
        </w:rPr>
      </w:pPr>
      <w:r w:rsidRPr="006A689E">
        <w:rPr>
          <w:rFonts w:ascii="Arial"/>
          <w:sz w:val="14"/>
        </w:rPr>
        <w:t>Fellowship of Epilepsy at Isfahan University of medical science (2017-2018</w:t>
      </w:r>
      <w:proofErr w:type="gramStart"/>
      <w:r w:rsidRPr="006A689E">
        <w:rPr>
          <w:rFonts w:ascii="Arial"/>
          <w:sz w:val="14"/>
        </w:rPr>
        <w:t>) .</w:t>
      </w:r>
      <w:proofErr w:type="gramEnd"/>
    </w:p>
    <w:p w:rsidR="00AE3E37" w:rsidRDefault="00A9710C" w:rsidP="00B04898">
      <w:pPr>
        <w:spacing w:before="62"/>
        <w:ind w:left="4217" w:right="4235"/>
        <w:jc w:val="center"/>
        <w:rPr>
          <w:rFonts w:ascii="Arial"/>
          <w:sz w:val="14"/>
        </w:rPr>
      </w:pPr>
      <w:r>
        <w:rPr>
          <w:rFonts w:ascii="Arial"/>
          <w:sz w:val="14"/>
        </w:rPr>
        <w:t xml:space="preserve">Email: </w:t>
      </w:r>
      <w:hyperlink r:id="rId12" w:history="1">
        <w:r w:rsidR="00E37F78" w:rsidRPr="00B707F3">
          <w:rPr>
            <w:rStyle w:val="Hyperlink"/>
            <w:rFonts w:ascii="Arial"/>
            <w:sz w:val="14"/>
          </w:rPr>
          <w:t>navidnaghibi.neuro@gmail.com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2628864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075F" w:rsidRDefault="005B075F">
      <w:r>
        <w:separator/>
      </w:r>
    </w:p>
  </w:endnote>
  <w:endnote w:type="continuationSeparator" w:id="0">
    <w:p w:rsidR="005B075F" w:rsidRDefault="005B07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Franklin Gothic Book">
    <w:altName w:val="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075F" w:rsidRDefault="005B075F">
      <w:r>
        <w:separator/>
      </w:r>
    </w:p>
  </w:footnote>
  <w:footnote w:type="continuationSeparator" w:id="0">
    <w:p w:rsidR="005B075F" w:rsidRDefault="005B07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4D1B"/>
    <w:rsid w:val="000E2911"/>
    <w:rsid w:val="001263DF"/>
    <w:rsid w:val="00292ED9"/>
    <w:rsid w:val="002A196B"/>
    <w:rsid w:val="002B2804"/>
    <w:rsid w:val="003F1830"/>
    <w:rsid w:val="00404E5B"/>
    <w:rsid w:val="00414F7B"/>
    <w:rsid w:val="004355DC"/>
    <w:rsid w:val="004749B4"/>
    <w:rsid w:val="00494130"/>
    <w:rsid w:val="004F3523"/>
    <w:rsid w:val="004F6F58"/>
    <w:rsid w:val="005068AF"/>
    <w:rsid w:val="00586518"/>
    <w:rsid w:val="005973B9"/>
    <w:rsid w:val="005B075F"/>
    <w:rsid w:val="005B3A56"/>
    <w:rsid w:val="006060CE"/>
    <w:rsid w:val="0063497F"/>
    <w:rsid w:val="006434DA"/>
    <w:rsid w:val="00675C35"/>
    <w:rsid w:val="006A689E"/>
    <w:rsid w:val="00765FB0"/>
    <w:rsid w:val="00873DF0"/>
    <w:rsid w:val="008756E6"/>
    <w:rsid w:val="008B050B"/>
    <w:rsid w:val="009958CB"/>
    <w:rsid w:val="009B2D44"/>
    <w:rsid w:val="00A07E82"/>
    <w:rsid w:val="00A30842"/>
    <w:rsid w:val="00A523B6"/>
    <w:rsid w:val="00A86EFD"/>
    <w:rsid w:val="00A91B79"/>
    <w:rsid w:val="00A9710C"/>
    <w:rsid w:val="00AE3E37"/>
    <w:rsid w:val="00B04898"/>
    <w:rsid w:val="00B21A57"/>
    <w:rsid w:val="00C33602"/>
    <w:rsid w:val="00C74B74"/>
    <w:rsid w:val="00CD6F55"/>
    <w:rsid w:val="00D53399"/>
    <w:rsid w:val="00DC0CE6"/>
    <w:rsid w:val="00DC2074"/>
    <w:rsid w:val="00DE1AF1"/>
    <w:rsid w:val="00DE3104"/>
    <w:rsid w:val="00E17697"/>
    <w:rsid w:val="00E363B5"/>
    <w:rsid w:val="00E37F78"/>
    <w:rsid w:val="00E81C3D"/>
    <w:rsid w:val="00E831E7"/>
    <w:rsid w:val="00E9242E"/>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navidnaghibi.neuro@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511</Words>
  <Characters>2919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gayathri</cp:lastModifiedBy>
  <cp:revision>2</cp:revision>
  <dcterms:created xsi:type="dcterms:W3CDTF">2023-03-09T04:43:00Z</dcterms:created>
  <dcterms:modified xsi:type="dcterms:W3CDTF">2023-03-09T04:43:00Z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