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6B6E9F" w14:textId="41FE6BA9" w:rsidR="006E1DAA" w:rsidRPr="00D770FF" w:rsidRDefault="00B501E7" w:rsidP="00D770FF">
      <w:pPr>
        <w:rPr>
          <w:rFonts w:ascii="Times New Roman" w:hAnsi="Times New Roman" w:cs="Times New Roman"/>
          <w:b/>
          <w:bCs/>
          <w:sz w:val="24"/>
          <w:szCs w:val="24"/>
        </w:rPr>
      </w:pPr>
      <w:r w:rsidRPr="00D770FF">
        <w:rPr>
          <w:rFonts w:ascii="Times New Roman" w:hAnsi="Times New Roman" w:cs="Times New Roman"/>
          <w:b/>
          <w:bCs/>
          <w:sz w:val="24"/>
          <w:szCs w:val="24"/>
        </w:rPr>
        <w:t>Direct observation of T cell receptor ligand discrimination</w:t>
      </w:r>
    </w:p>
    <w:p w14:paraId="67C42F2F" w14:textId="652572B9" w:rsidR="00D770FF" w:rsidRPr="00D770FF" w:rsidRDefault="005D37B0" w:rsidP="00D770FF">
      <w:pPr>
        <w:rPr>
          <w:rFonts w:ascii="Times New Roman" w:hAnsi="Times New Roman" w:cs="Times New Roman"/>
          <w:b/>
          <w:bCs/>
          <w:sz w:val="24"/>
          <w:szCs w:val="24"/>
        </w:rPr>
      </w:pPr>
      <w:r w:rsidRPr="00D770FF">
        <w:rPr>
          <w:rFonts w:ascii="Times New Roman" w:hAnsi="Times New Roman" w:cs="Times New Roman"/>
          <w:b/>
          <w:bCs/>
          <w:sz w:val="24"/>
          <w:szCs w:val="24"/>
        </w:rPr>
        <w:t>Jun Huang</w:t>
      </w:r>
      <w:r w:rsidR="00D770FF">
        <w:rPr>
          <w:rFonts w:ascii="Times New Roman" w:hAnsi="Times New Roman" w:cs="Times New Roman"/>
          <w:b/>
          <w:bCs/>
          <w:sz w:val="24"/>
          <w:szCs w:val="24"/>
        </w:rPr>
        <w:br/>
      </w:r>
      <w:r w:rsidR="00D770FF" w:rsidRPr="00D770FF">
        <w:rPr>
          <w:rFonts w:ascii="Times New Roman" w:hAnsi="Times New Roman" w:cs="Times New Roman"/>
          <w:sz w:val="24"/>
          <w:szCs w:val="24"/>
        </w:rPr>
        <w:t>University of Chicago</w:t>
      </w:r>
      <w:r w:rsidR="00D770FF">
        <w:rPr>
          <w:rFonts w:ascii="Times New Roman" w:hAnsi="Times New Roman" w:cs="Times New Roman"/>
          <w:sz w:val="24"/>
          <w:szCs w:val="24"/>
        </w:rPr>
        <w:t>, USA</w:t>
      </w:r>
    </w:p>
    <w:p w14:paraId="24F53DB1" w14:textId="2C0F9EF8" w:rsidR="005D37B0" w:rsidRPr="00D770FF" w:rsidRDefault="00B501E7" w:rsidP="00B501E7">
      <w:pPr>
        <w:jc w:val="both"/>
        <w:rPr>
          <w:rFonts w:ascii="Times New Roman" w:hAnsi="Times New Roman" w:cs="Times New Roman"/>
          <w:sz w:val="24"/>
          <w:szCs w:val="24"/>
        </w:rPr>
      </w:pPr>
      <w:r w:rsidRPr="00D770FF">
        <w:rPr>
          <w:rFonts w:ascii="Times New Roman" w:hAnsi="Times New Roman" w:cs="Times New Roman"/>
          <w:sz w:val="24"/>
          <w:szCs w:val="24"/>
        </w:rPr>
        <w:t>A major unanswered question is how a T</w:t>
      </w:r>
      <w:bookmarkStart w:id="0" w:name="_GoBack"/>
      <w:bookmarkEnd w:id="0"/>
      <w:r w:rsidRPr="00D770FF">
        <w:rPr>
          <w:rFonts w:ascii="Times New Roman" w:hAnsi="Times New Roman" w:cs="Times New Roman"/>
          <w:sz w:val="24"/>
          <w:szCs w:val="24"/>
        </w:rPr>
        <w:t xml:space="preserve"> cell receptor (TCR) discriminates between foreign and self-peptide</w:t>
      </w:r>
      <w:r w:rsidR="002C1825" w:rsidRPr="00D770FF">
        <w:rPr>
          <w:rFonts w:ascii="Times New Roman" w:hAnsi="Times New Roman" w:cs="Times New Roman"/>
          <w:sz w:val="24"/>
          <w:szCs w:val="24"/>
        </w:rPr>
        <w:t>s</w:t>
      </w:r>
      <w:r w:rsidRPr="00D770FF">
        <w:rPr>
          <w:rFonts w:ascii="Times New Roman" w:hAnsi="Times New Roman" w:cs="Times New Roman"/>
          <w:sz w:val="24"/>
          <w:szCs w:val="24"/>
        </w:rPr>
        <w:t xml:space="preserve"> presented on the major histocompatibility </w:t>
      </w:r>
      <w:r w:rsidR="002C1825" w:rsidRPr="00D770FF">
        <w:rPr>
          <w:rFonts w:ascii="Times New Roman" w:hAnsi="Times New Roman" w:cs="Times New Roman"/>
          <w:sz w:val="24"/>
          <w:szCs w:val="24"/>
        </w:rPr>
        <w:t>complexes</w:t>
      </w:r>
      <w:r w:rsidRPr="00D770FF">
        <w:rPr>
          <w:rFonts w:ascii="Times New Roman" w:hAnsi="Times New Roman" w:cs="Times New Roman"/>
          <w:sz w:val="24"/>
          <w:szCs w:val="24"/>
        </w:rPr>
        <w:t xml:space="preserve"> (</w:t>
      </w:r>
      <w:proofErr w:type="spellStart"/>
      <w:r w:rsidRPr="00D770FF">
        <w:rPr>
          <w:rFonts w:ascii="Times New Roman" w:hAnsi="Times New Roman" w:cs="Times New Roman"/>
          <w:sz w:val="24"/>
          <w:szCs w:val="24"/>
        </w:rPr>
        <w:t>pMHC</w:t>
      </w:r>
      <w:r w:rsidR="002C1825" w:rsidRPr="00D770FF">
        <w:rPr>
          <w:rFonts w:ascii="Times New Roman" w:hAnsi="Times New Roman" w:cs="Times New Roman"/>
          <w:sz w:val="24"/>
          <w:szCs w:val="24"/>
        </w:rPr>
        <w:t>s</w:t>
      </w:r>
      <w:proofErr w:type="spellEnd"/>
      <w:r w:rsidRPr="00D770FF">
        <w:rPr>
          <w:rFonts w:ascii="Times New Roman" w:hAnsi="Times New Roman" w:cs="Times New Roman"/>
          <w:sz w:val="24"/>
          <w:szCs w:val="24"/>
        </w:rPr>
        <w:t>)</w:t>
      </w:r>
      <w:r w:rsidR="00F53E87" w:rsidRPr="00D770FF">
        <w:rPr>
          <w:rFonts w:ascii="Times New Roman" w:hAnsi="Times New Roman" w:cs="Times New Roman"/>
          <w:sz w:val="24"/>
          <w:szCs w:val="24"/>
        </w:rPr>
        <w:t xml:space="preserve"> of antigen</w:t>
      </w:r>
      <w:r w:rsidR="00CD5858" w:rsidRPr="00D770FF">
        <w:rPr>
          <w:rFonts w:ascii="Times New Roman" w:hAnsi="Times New Roman" w:cs="Times New Roman"/>
          <w:sz w:val="24"/>
          <w:szCs w:val="24"/>
        </w:rPr>
        <w:t xml:space="preserve"> presenting cell surfaces</w:t>
      </w:r>
      <w:r w:rsidR="002C1825" w:rsidRPr="00D770FF">
        <w:rPr>
          <w:rFonts w:ascii="Times New Roman" w:hAnsi="Times New Roman" w:cs="Times New Roman"/>
          <w:sz w:val="24"/>
          <w:szCs w:val="24"/>
        </w:rPr>
        <w:t>.</w:t>
      </w:r>
      <w:r w:rsidRPr="00D770FF">
        <w:rPr>
          <w:rFonts w:ascii="Times New Roman" w:hAnsi="Times New Roman" w:cs="Times New Roman"/>
          <w:sz w:val="24"/>
          <w:szCs w:val="24"/>
        </w:rPr>
        <w:t xml:space="preserve"> Here, we used in situ fluorescence resonance energy transfer (FRET) to measure the </w:t>
      </w:r>
      <w:r w:rsidR="005E58A2" w:rsidRPr="00D770FF">
        <w:rPr>
          <w:rFonts w:ascii="Times New Roman" w:hAnsi="Times New Roman" w:cs="Times New Roman"/>
          <w:sz w:val="24"/>
          <w:szCs w:val="24"/>
        </w:rPr>
        <w:t>length</w:t>
      </w:r>
      <w:r w:rsidRPr="00D770FF">
        <w:rPr>
          <w:rFonts w:ascii="Times New Roman" w:hAnsi="Times New Roman" w:cs="Times New Roman"/>
          <w:sz w:val="24"/>
          <w:szCs w:val="24"/>
        </w:rPr>
        <w:t>s of single TCR–</w:t>
      </w:r>
      <w:proofErr w:type="spellStart"/>
      <w:r w:rsidRPr="00D770FF">
        <w:rPr>
          <w:rFonts w:ascii="Times New Roman" w:hAnsi="Times New Roman" w:cs="Times New Roman"/>
          <w:sz w:val="24"/>
          <w:szCs w:val="24"/>
        </w:rPr>
        <w:t>pMHC</w:t>
      </w:r>
      <w:proofErr w:type="spellEnd"/>
      <w:r w:rsidRPr="00D770FF">
        <w:rPr>
          <w:rFonts w:ascii="Times New Roman" w:hAnsi="Times New Roman" w:cs="Times New Roman"/>
          <w:sz w:val="24"/>
          <w:szCs w:val="24"/>
        </w:rPr>
        <w:t xml:space="preserve"> bonds and the conformations of individual TCR–CD3ζ receptors at the membranes of live primary T cells. We found that a TCR discriminates between closely related peptides by forming single TCR–</w:t>
      </w:r>
      <w:proofErr w:type="spellStart"/>
      <w:r w:rsidRPr="00D770FF">
        <w:rPr>
          <w:rFonts w:ascii="Times New Roman" w:hAnsi="Times New Roman" w:cs="Times New Roman"/>
          <w:sz w:val="24"/>
          <w:szCs w:val="24"/>
        </w:rPr>
        <w:t>pMHC</w:t>
      </w:r>
      <w:proofErr w:type="spellEnd"/>
      <w:r w:rsidRPr="00D770FF">
        <w:rPr>
          <w:rFonts w:ascii="Times New Roman" w:hAnsi="Times New Roman" w:cs="Times New Roman"/>
          <w:sz w:val="24"/>
          <w:szCs w:val="24"/>
        </w:rPr>
        <w:t xml:space="preserve"> bonds with different lengths, and the most potent </w:t>
      </w:r>
      <w:proofErr w:type="spellStart"/>
      <w:r w:rsidRPr="00D770FF">
        <w:rPr>
          <w:rFonts w:ascii="Times New Roman" w:hAnsi="Times New Roman" w:cs="Times New Roman"/>
          <w:sz w:val="24"/>
          <w:szCs w:val="24"/>
        </w:rPr>
        <w:t>pMHC</w:t>
      </w:r>
      <w:proofErr w:type="spellEnd"/>
      <w:r w:rsidRPr="00D770FF">
        <w:rPr>
          <w:rFonts w:ascii="Times New Roman" w:hAnsi="Times New Roman" w:cs="Times New Roman"/>
          <w:sz w:val="24"/>
          <w:szCs w:val="24"/>
        </w:rPr>
        <w:t xml:space="preserve"> forms the shortest bond. The bond length dictates the degree of CD3ζ dissociation from the inner leaflet of the plasma membrane to precisely control the accessibility of CD3ζ ITAMs for phosphorylation. We further developed lattice light-sheet microscopy multi-dimensional analyses (</w:t>
      </w:r>
      <w:proofErr w:type="spellStart"/>
      <w:r w:rsidRPr="00D770FF">
        <w:rPr>
          <w:rFonts w:ascii="Times New Roman" w:hAnsi="Times New Roman" w:cs="Times New Roman"/>
          <w:sz w:val="24"/>
          <w:szCs w:val="24"/>
        </w:rPr>
        <w:t>LaMDA</w:t>
      </w:r>
      <w:proofErr w:type="spellEnd"/>
      <w:r w:rsidRPr="00D770FF">
        <w:rPr>
          <w:rFonts w:ascii="Times New Roman" w:hAnsi="Times New Roman" w:cs="Times New Roman"/>
          <w:sz w:val="24"/>
          <w:szCs w:val="24"/>
        </w:rPr>
        <w:t xml:space="preserve">), an end-to-end pipeline comprised of publicly available software packages that combines machine learning, dimensionality reduction, and diffusion maps to </w:t>
      </w:r>
      <w:proofErr w:type="gramStart"/>
      <w:r w:rsidR="002C1825" w:rsidRPr="00D770FF">
        <w:rPr>
          <w:rFonts w:ascii="Times New Roman" w:hAnsi="Times New Roman" w:cs="Times New Roman"/>
          <w:sz w:val="24"/>
          <w:szCs w:val="24"/>
        </w:rPr>
        <w:t>predicts</w:t>
      </w:r>
      <w:proofErr w:type="gramEnd"/>
      <w:r w:rsidR="002C1825" w:rsidRPr="00D770FF">
        <w:rPr>
          <w:rFonts w:ascii="Times New Roman" w:hAnsi="Times New Roman" w:cs="Times New Roman"/>
          <w:sz w:val="24"/>
          <w:szCs w:val="24"/>
        </w:rPr>
        <w:t xml:space="preserve"> different cell signaling states by surface molecular dynamics. </w:t>
      </w:r>
      <w:proofErr w:type="spellStart"/>
      <w:r w:rsidR="002C1825" w:rsidRPr="00D770FF">
        <w:rPr>
          <w:rFonts w:ascii="Times New Roman" w:hAnsi="Times New Roman" w:cs="Times New Roman"/>
          <w:sz w:val="24"/>
          <w:szCs w:val="24"/>
        </w:rPr>
        <w:t>LaMDA</w:t>
      </w:r>
      <w:proofErr w:type="spellEnd"/>
      <w:r w:rsidR="002C1825" w:rsidRPr="00D770FF">
        <w:rPr>
          <w:rFonts w:ascii="Times New Roman" w:hAnsi="Times New Roman" w:cs="Times New Roman"/>
          <w:sz w:val="24"/>
          <w:szCs w:val="24"/>
        </w:rPr>
        <w:t xml:space="preserve"> </w:t>
      </w:r>
      <w:r w:rsidRPr="00D770FF">
        <w:rPr>
          <w:rFonts w:ascii="Times New Roman" w:hAnsi="Times New Roman" w:cs="Times New Roman"/>
          <w:sz w:val="24"/>
          <w:szCs w:val="24"/>
        </w:rPr>
        <w:t>reliably discriminate</w:t>
      </w:r>
      <w:r w:rsidR="002C1825" w:rsidRPr="00D770FF">
        <w:rPr>
          <w:rFonts w:ascii="Times New Roman" w:hAnsi="Times New Roman" w:cs="Times New Roman"/>
          <w:sz w:val="24"/>
          <w:szCs w:val="24"/>
        </w:rPr>
        <w:t>s</w:t>
      </w:r>
      <w:r w:rsidRPr="00D770FF">
        <w:rPr>
          <w:rFonts w:ascii="Times New Roman" w:hAnsi="Times New Roman" w:cs="Times New Roman"/>
          <w:sz w:val="24"/>
          <w:szCs w:val="24"/>
        </w:rPr>
        <w:t xml:space="preserve"> between structurally similar </w:t>
      </w:r>
      <w:proofErr w:type="spellStart"/>
      <w:r w:rsidRPr="00D770FF">
        <w:rPr>
          <w:rFonts w:ascii="Times New Roman" w:hAnsi="Times New Roman" w:cs="Times New Roman"/>
          <w:sz w:val="24"/>
          <w:szCs w:val="24"/>
        </w:rPr>
        <w:t>pMHC</w:t>
      </w:r>
      <w:proofErr w:type="spellEnd"/>
      <w:r w:rsidRPr="00D770FF">
        <w:rPr>
          <w:rFonts w:ascii="Times New Roman" w:hAnsi="Times New Roman" w:cs="Times New Roman"/>
          <w:sz w:val="24"/>
          <w:szCs w:val="24"/>
        </w:rPr>
        <w:t xml:space="preserve"> ligands by</w:t>
      </w:r>
      <w:r w:rsidR="002C1825" w:rsidRPr="00D770FF">
        <w:rPr>
          <w:rFonts w:ascii="Times New Roman" w:hAnsi="Times New Roman" w:cs="Times New Roman"/>
          <w:sz w:val="24"/>
          <w:szCs w:val="24"/>
        </w:rPr>
        <w:t xml:space="preserve"> analyzing 3D </w:t>
      </w:r>
      <w:r w:rsidRPr="00D770FF">
        <w:rPr>
          <w:rFonts w:ascii="Times New Roman" w:hAnsi="Times New Roman" w:cs="Times New Roman"/>
          <w:sz w:val="24"/>
          <w:szCs w:val="24"/>
        </w:rPr>
        <w:t>TCR dynamics</w:t>
      </w:r>
      <w:r w:rsidR="002C1825" w:rsidRPr="00D770FF">
        <w:rPr>
          <w:rFonts w:ascii="Times New Roman" w:hAnsi="Times New Roman" w:cs="Times New Roman"/>
          <w:sz w:val="24"/>
          <w:szCs w:val="24"/>
        </w:rPr>
        <w:t xml:space="preserve"> at the T cell membrane</w:t>
      </w:r>
      <w:r w:rsidRPr="00D770FF">
        <w:rPr>
          <w:rFonts w:ascii="Times New Roman" w:hAnsi="Times New Roman" w:cs="Times New Roman"/>
          <w:sz w:val="24"/>
          <w:szCs w:val="24"/>
        </w:rPr>
        <w:t>.</w:t>
      </w:r>
      <w:r w:rsidR="002C1825" w:rsidRPr="00D770FF">
        <w:rPr>
          <w:rFonts w:ascii="Times New Roman" w:hAnsi="Times New Roman" w:cs="Times New Roman"/>
          <w:sz w:val="24"/>
          <w:szCs w:val="24"/>
        </w:rPr>
        <w:t xml:space="preserve"> </w:t>
      </w:r>
      <w:r w:rsidRPr="00D770FF">
        <w:rPr>
          <w:rFonts w:ascii="Times New Roman" w:hAnsi="Times New Roman" w:cs="Times New Roman"/>
          <w:sz w:val="24"/>
          <w:szCs w:val="24"/>
        </w:rPr>
        <w:t xml:space="preserve"> Our data revealed the mechanism by which a TCR deciphers the structural differences among peptides via the TCR–</w:t>
      </w:r>
      <w:proofErr w:type="spellStart"/>
      <w:r w:rsidRPr="00D770FF">
        <w:rPr>
          <w:rFonts w:ascii="Times New Roman" w:hAnsi="Times New Roman" w:cs="Times New Roman"/>
          <w:sz w:val="24"/>
          <w:szCs w:val="24"/>
        </w:rPr>
        <w:t>pMHC</w:t>
      </w:r>
      <w:proofErr w:type="spellEnd"/>
      <w:r w:rsidRPr="00D770FF">
        <w:rPr>
          <w:rFonts w:ascii="Times New Roman" w:hAnsi="Times New Roman" w:cs="Times New Roman"/>
          <w:sz w:val="24"/>
          <w:szCs w:val="24"/>
        </w:rPr>
        <w:t xml:space="preserve"> bond conformation</w:t>
      </w:r>
      <w:r w:rsidR="002C1825" w:rsidRPr="00D770FF">
        <w:rPr>
          <w:rFonts w:ascii="Times New Roman" w:hAnsi="Times New Roman" w:cs="Times New Roman"/>
          <w:sz w:val="24"/>
          <w:szCs w:val="24"/>
        </w:rPr>
        <w:t xml:space="preserve"> and TCR surface dynamics</w:t>
      </w:r>
      <w:r w:rsidRPr="00D770FF">
        <w:rPr>
          <w:rFonts w:ascii="Times New Roman" w:hAnsi="Times New Roman" w:cs="Times New Roman"/>
          <w:sz w:val="24"/>
          <w:szCs w:val="24"/>
        </w:rPr>
        <w:t>.</w:t>
      </w:r>
    </w:p>
    <w:p w14:paraId="2216D35C" w14:textId="026B85C4" w:rsidR="00FB2B81" w:rsidRPr="00D770FF" w:rsidRDefault="00FB2B81" w:rsidP="00405221">
      <w:pPr>
        <w:rPr>
          <w:rFonts w:ascii="Times New Roman" w:hAnsi="Times New Roman" w:cs="Times New Roman"/>
          <w:sz w:val="24"/>
          <w:szCs w:val="24"/>
        </w:rPr>
      </w:pPr>
      <w:r w:rsidRPr="00D770FF">
        <w:rPr>
          <w:rFonts w:ascii="Times New Roman" w:hAnsi="Times New Roman" w:cs="Times New Roman"/>
          <w:b/>
          <w:sz w:val="24"/>
          <w:szCs w:val="24"/>
        </w:rPr>
        <w:t xml:space="preserve">Biography: </w:t>
      </w:r>
      <w:r w:rsidRPr="00D770FF">
        <w:rPr>
          <w:rFonts w:ascii="Times New Roman" w:hAnsi="Times New Roman" w:cs="Times New Roman"/>
          <w:sz w:val="24"/>
          <w:szCs w:val="24"/>
        </w:rPr>
        <w:t xml:space="preserve">Jun Huang is </w:t>
      </w:r>
      <w:r w:rsidR="008F2F19" w:rsidRPr="00D770FF">
        <w:rPr>
          <w:rFonts w:ascii="Times New Roman" w:hAnsi="Times New Roman" w:cs="Times New Roman"/>
          <w:sz w:val="24"/>
          <w:szCs w:val="24"/>
        </w:rPr>
        <w:t>a</w:t>
      </w:r>
      <w:r w:rsidR="00E817B6" w:rsidRPr="00D770FF">
        <w:rPr>
          <w:rFonts w:ascii="Times New Roman" w:hAnsi="Times New Roman" w:cs="Times New Roman"/>
          <w:sz w:val="24"/>
          <w:szCs w:val="24"/>
        </w:rPr>
        <w:t xml:space="preserve"> tenured</w:t>
      </w:r>
      <w:r w:rsidR="00EE0E52" w:rsidRPr="00D770FF">
        <w:rPr>
          <w:rFonts w:ascii="Times New Roman" w:hAnsi="Times New Roman" w:cs="Times New Roman"/>
          <w:sz w:val="24"/>
          <w:szCs w:val="24"/>
        </w:rPr>
        <w:t xml:space="preserve"> </w:t>
      </w:r>
      <w:r w:rsidRPr="00D770FF">
        <w:rPr>
          <w:rFonts w:ascii="Times New Roman" w:hAnsi="Times New Roman" w:cs="Times New Roman"/>
          <w:sz w:val="24"/>
          <w:szCs w:val="24"/>
        </w:rPr>
        <w:t xml:space="preserve">professor </w:t>
      </w:r>
      <w:r w:rsidR="0051242F" w:rsidRPr="00D770FF">
        <w:rPr>
          <w:rFonts w:ascii="Times New Roman" w:hAnsi="Times New Roman" w:cs="Times New Roman"/>
          <w:sz w:val="24"/>
          <w:szCs w:val="24"/>
        </w:rPr>
        <w:t>at</w:t>
      </w:r>
      <w:r w:rsidRPr="00D770FF">
        <w:rPr>
          <w:rFonts w:ascii="Times New Roman" w:hAnsi="Times New Roman" w:cs="Times New Roman"/>
          <w:sz w:val="24"/>
          <w:szCs w:val="24"/>
        </w:rPr>
        <w:t xml:space="preserve"> the University of Chicago. His lab performs basic and translational research with the objective of developing effective vaccines and cell immunotherapies for the treatment of cancer, infection, and autoimmunity. He carries out basic immunological research, focusing on molecular mechanisms of T cell recognition and signaling</w:t>
      </w:r>
      <w:r w:rsidR="00D10A82" w:rsidRPr="00D770FF">
        <w:rPr>
          <w:rFonts w:ascii="Times New Roman" w:hAnsi="Times New Roman" w:cs="Times New Roman"/>
          <w:sz w:val="24"/>
          <w:szCs w:val="24"/>
        </w:rPr>
        <w:t xml:space="preserve"> at the single-molecule level</w:t>
      </w:r>
      <w:r w:rsidRPr="00D770FF">
        <w:rPr>
          <w:rFonts w:ascii="Times New Roman" w:hAnsi="Times New Roman" w:cs="Times New Roman"/>
          <w:sz w:val="24"/>
          <w:szCs w:val="24"/>
        </w:rPr>
        <w:t>. He performs systems immunology, studying the differentiatio</w:t>
      </w:r>
      <w:r w:rsidR="009F29B1" w:rsidRPr="00D770FF">
        <w:rPr>
          <w:rFonts w:ascii="Times New Roman" w:hAnsi="Times New Roman" w:cs="Times New Roman"/>
          <w:sz w:val="24"/>
          <w:szCs w:val="24"/>
        </w:rPr>
        <w:t>n</w:t>
      </w:r>
      <w:r w:rsidRPr="00D770FF">
        <w:rPr>
          <w:rFonts w:ascii="Times New Roman" w:hAnsi="Times New Roman" w:cs="Times New Roman"/>
          <w:sz w:val="24"/>
          <w:szCs w:val="24"/>
        </w:rPr>
        <w:t xml:space="preserve"> of T cells</w:t>
      </w:r>
      <w:r w:rsidR="00D10A82" w:rsidRPr="00D770FF">
        <w:rPr>
          <w:rFonts w:ascii="Times New Roman" w:hAnsi="Times New Roman" w:cs="Times New Roman"/>
          <w:sz w:val="24"/>
          <w:szCs w:val="24"/>
        </w:rPr>
        <w:t xml:space="preserve"> at the single-cell level</w:t>
      </w:r>
      <w:r w:rsidRPr="00D770FF">
        <w:rPr>
          <w:rFonts w:ascii="Times New Roman" w:hAnsi="Times New Roman" w:cs="Times New Roman"/>
          <w:sz w:val="24"/>
          <w:szCs w:val="24"/>
        </w:rPr>
        <w:t>. He engineers CAR-T cells, aiming at the treatment of cancer and autoimmunity. He develops new biomaterials, enabling the detection, profiling, and manipulation of T cells for diagnosis and treatment.</w:t>
      </w:r>
    </w:p>
    <w:p w14:paraId="399BF098" w14:textId="2E69C778" w:rsidR="005C345B" w:rsidRPr="00D770FF" w:rsidRDefault="005C345B" w:rsidP="00FB2B81">
      <w:pPr>
        <w:jc w:val="both"/>
        <w:rPr>
          <w:rFonts w:ascii="Times New Roman" w:hAnsi="Times New Roman" w:cs="Times New Roman"/>
          <w:sz w:val="24"/>
          <w:szCs w:val="24"/>
        </w:rPr>
      </w:pPr>
    </w:p>
    <w:p w14:paraId="2B160EAD" w14:textId="43381B88" w:rsidR="005C345B" w:rsidRPr="00D770FF" w:rsidRDefault="005C345B" w:rsidP="00FB2B81">
      <w:pPr>
        <w:jc w:val="both"/>
        <w:rPr>
          <w:rFonts w:ascii="Times New Roman" w:hAnsi="Times New Roman" w:cs="Times New Roman"/>
          <w:sz w:val="24"/>
          <w:szCs w:val="24"/>
        </w:rPr>
      </w:pPr>
    </w:p>
    <w:p w14:paraId="08E09DBA" w14:textId="77777777" w:rsidR="00B501E7" w:rsidRPr="00D770FF" w:rsidRDefault="00B501E7" w:rsidP="00B501E7">
      <w:pPr>
        <w:jc w:val="both"/>
        <w:rPr>
          <w:rFonts w:ascii="Times New Roman" w:hAnsi="Times New Roman" w:cs="Times New Roman"/>
          <w:sz w:val="24"/>
          <w:szCs w:val="24"/>
        </w:rPr>
      </w:pPr>
    </w:p>
    <w:sectPr w:rsidR="00B501E7" w:rsidRPr="00D770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1E7"/>
    <w:rsid w:val="00041818"/>
    <w:rsid w:val="00183E87"/>
    <w:rsid w:val="0019412F"/>
    <w:rsid w:val="002C1825"/>
    <w:rsid w:val="002F776E"/>
    <w:rsid w:val="00405221"/>
    <w:rsid w:val="0051242F"/>
    <w:rsid w:val="005732C1"/>
    <w:rsid w:val="005C345B"/>
    <w:rsid w:val="005D37B0"/>
    <w:rsid w:val="005E58A2"/>
    <w:rsid w:val="006E1DAA"/>
    <w:rsid w:val="007D68AF"/>
    <w:rsid w:val="008F2F19"/>
    <w:rsid w:val="009F29B1"/>
    <w:rsid w:val="00B501E7"/>
    <w:rsid w:val="00CD5858"/>
    <w:rsid w:val="00D10A82"/>
    <w:rsid w:val="00D770FF"/>
    <w:rsid w:val="00E817B6"/>
    <w:rsid w:val="00EE0E52"/>
    <w:rsid w:val="00F53E87"/>
    <w:rsid w:val="00FB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2D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01E7"/>
    <w:rPr>
      <w:color w:val="0000FF"/>
      <w:u w:val="single"/>
    </w:rPr>
  </w:style>
  <w:style w:type="paragraph" w:styleId="NormalWeb">
    <w:name w:val="Normal (Web)"/>
    <w:basedOn w:val="Normal"/>
    <w:uiPriority w:val="99"/>
    <w:semiHidden/>
    <w:unhideWhenUsed/>
    <w:rsid w:val="00B501E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01E7"/>
    <w:rPr>
      <w:i/>
      <w:iCs/>
    </w:rPr>
  </w:style>
  <w:style w:type="paragraph" w:styleId="BalloonText">
    <w:name w:val="Balloon Text"/>
    <w:basedOn w:val="Normal"/>
    <w:link w:val="BalloonTextChar"/>
    <w:uiPriority w:val="99"/>
    <w:semiHidden/>
    <w:unhideWhenUsed/>
    <w:rsid w:val="00194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1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01E7"/>
    <w:rPr>
      <w:color w:val="0000FF"/>
      <w:u w:val="single"/>
    </w:rPr>
  </w:style>
  <w:style w:type="paragraph" w:styleId="NormalWeb">
    <w:name w:val="Normal (Web)"/>
    <w:basedOn w:val="Normal"/>
    <w:uiPriority w:val="99"/>
    <w:semiHidden/>
    <w:unhideWhenUsed/>
    <w:rsid w:val="00B501E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01E7"/>
    <w:rPr>
      <w:i/>
      <w:iCs/>
    </w:rPr>
  </w:style>
  <w:style w:type="paragraph" w:styleId="BalloonText">
    <w:name w:val="Balloon Text"/>
    <w:basedOn w:val="Normal"/>
    <w:link w:val="BalloonTextChar"/>
    <w:uiPriority w:val="99"/>
    <w:semiHidden/>
    <w:unhideWhenUsed/>
    <w:rsid w:val="00194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1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661872">
      <w:bodyDiv w:val="1"/>
      <w:marLeft w:val="0"/>
      <w:marRight w:val="0"/>
      <w:marTop w:val="0"/>
      <w:marBottom w:val="0"/>
      <w:divBdr>
        <w:top w:val="none" w:sz="0" w:space="0" w:color="auto"/>
        <w:left w:val="none" w:sz="0" w:space="0" w:color="auto"/>
        <w:bottom w:val="none" w:sz="0" w:space="0" w:color="auto"/>
        <w:right w:val="none" w:sz="0" w:space="0" w:color="auto"/>
      </w:divBdr>
      <w:divsChild>
        <w:div w:id="1013454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 Huang</dc:creator>
  <cp:lastModifiedBy>International Conference On European Immunology</cp:lastModifiedBy>
  <cp:revision>2</cp:revision>
  <dcterms:created xsi:type="dcterms:W3CDTF">2023-03-08T05:38:00Z</dcterms:created>
  <dcterms:modified xsi:type="dcterms:W3CDTF">2023-03-08T05:38:00Z</dcterms:modified>
</cp:coreProperties>
</file>