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6F4" w:rsidRDefault="009456F4">
      <w:pPr>
        <w:pStyle w:val="BodyText"/>
        <w:spacing w:before="1"/>
        <w:rPr>
          <w:rFonts w:ascii="Times New Roman"/>
          <w:sz w:val="9"/>
        </w:rPr>
      </w:pPr>
      <w:bookmarkStart w:id="0" w:name="_GoBack"/>
      <w:bookmarkEnd w:id="0"/>
    </w:p>
    <w:p w:rsidR="009456F4" w:rsidRDefault="008637B9">
      <w:pPr>
        <w:pStyle w:val="Title"/>
      </w:pPr>
      <w:r>
        <w:rPr>
          <w:color w:val="4AACC5"/>
        </w:rPr>
        <w:t>VACCINE TIMING</w:t>
      </w:r>
      <w:r>
        <w:rPr>
          <w:color w:val="4AACC5"/>
          <w:spacing w:val="-4"/>
        </w:rPr>
        <w:t xml:space="preserve"> </w:t>
      </w:r>
      <w:r>
        <w:rPr>
          <w:color w:val="4AACC5"/>
        </w:rPr>
        <w:t>AND</w:t>
      </w:r>
      <w:r>
        <w:rPr>
          <w:color w:val="4AACC5"/>
          <w:spacing w:val="-2"/>
        </w:rPr>
        <w:t xml:space="preserve"> </w:t>
      </w:r>
      <w:r>
        <w:rPr>
          <w:color w:val="4AACC5"/>
        </w:rPr>
        <w:t>SPACING</w:t>
      </w:r>
      <w:r>
        <w:rPr>
          <w:color w:val="4AACC5"/>
          <w:spacing w:val="3"/>
        </w:rPr>
        <w:t xml:space="preserve"> </w:t>
      </w:r>
      <w:r>
        <w:rPr>
          <w:color w:val="4AACC5"/>
        </w:rPr>
        <w:t>.WHAT</w:t>
      </w:r>
      <w:r>
        <w:rPr>
          <w:color w:val="4AACC5"/>
          <w:spacing w:val="-1"/>
        </w:rPr>
        <w:t xml:space="preserve"> </w:t>
      </w:r>
      <w:r>
        <w:rPr>
          <w:color w:val="4AACC5"/>
        </w:rPr>
        <w:t>LIES BENEATH?</w:t>
      </w:r>
    </w:p>
    <w:p w:rsidR="009456F4" w:rsidRDefault="008637B9">
      <w:pPr>
        <w:spacing w:before="313" w:line="280" w:lineRule="auto"/>
        <w:ind w:left="200" w:right="5960"/>
        <w:rPr>
          <w:rFonts w:ascii="Arial MT"/>
          <w:sz w:val="20"/>
        </w:rPr>
      </w:pPr>
      <w:proofErr w:type="spellStart"/>
      <w:r>
        <w:rPr>
          <w:rFonts w:ascii="Arial MT"/>
          <w:sz w:val="20"/>
        </w:rPr>
        <w:t>Abdou</w:t>
      </w:r>
      <w:proofErr w:type="spellEnd"/>
      <w:r>
        <w:rPr>
          <w:rFonts w:ascii="Arial MT"/>
          <w:spacing w:val="-5"/>
          <w:sz w:val="20"/>
        </w:rPr>
        <w:t xml:space="preserve"> </w:t>
      </w:r>
      <w:proofErr w:type="spellStart"/>
      <w:r>
        <w:rPr>
          <w:rFonts w:ascii="Arial MT"/>
          <w:sz w:val="20"/>
        </w:rPr>
        <w:t>Deyab</w:t>
      </w:r>
      <w:proofErr w:type="spellEnd"/>
      <w:r>
        <w:rPr>
          <w:rFonts w:ascii="Arial MT"/>
          <w:sz w:val="20"/>
        </w:rPr>
        <w:t>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MS,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Alexandria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University,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Egypt</w:t>
      </w:r>
      <w:r>
        <w:rPr>
          <w:rFonts w:ascii="Arial MT"/>
          <w:spacing w:val="-52"/>
          <w:sz w:val="20"/>
        </w:rPr>
        <w:t xml:space="preserve"> </w:t>
      </w:r>
      <w:proofErr w:type="spellStart"/>
      <w:r>
        <w:rPr>
          <w:rFonts w:ascii="Arial MT"/>
          <w:sz w:val="20"/>
        </w:rPr>
        <w:t>Abdou</w:t>
      </w:r>
      <w:proofErr w:type="spellEnd"/>
      <w:r>
        <w:rPr>
          <w:rFonts w:ascii="Arial MT"/>
          <w:spacing w:val="-5"/>
          <w:sz w:val="20"/>
        </w:rPr>
        <w:t xml:space="preserve"> </w:t>
      </w:r>
      <w:proofErr w:type="spellStart"/>
      <w:r>
        <w:rPr>
          <w:rFonts w:ascii="Arial MT"/>
          <w:sz w:val="20"/>
        </w:rPr>
        <w:t>Deyab</w:t>
      </w:r>
      <w:proofErr w:type="spellEnd"/>
      <w:r>
        <w:rPr>
          <w:rFonts w:ascii="Arial MT"/>
          <w:sz w:val="20"/>
        </w:rPr>
        <w:t>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MS,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Alexandria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University,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Egypt</w:t>
      </w:r>
    </w:p>
    <w:p w:rsidR="009456F4" w:rsidRDefault="009456F4">
      <w:pPr>
        <w:pStyle w:val="BodyText"/>
        <w:rPr>
          <w:rFonts w:ascii="Arial MT"/>
          <w:sz w:val="20"/>
        </w:rPr>
      </w:pPr>
    </w:p>
    <w:p w:rsidR="009456F4" w:rsidRDefault="009456F4">
      <w:pPr>
        <w:pStyle w:val="BodyText"/>
        <w:spacing w:before="4"/>
        <w:rPr>
          <w:rFonts w:ascii="Arial MT"/>
          <w:sz w:val="18"/>
        </w:rPr>
      </w:pPr>
    </w:p>
    <w:p w:rsidR="009456F4" w:rsidRDefault="009456F4">
      <w:pPr>
        <w:rPr>
          <w:rFonts w:ascii="Arial MT"/>
          <w:sz w:val="18"/>
        </w:rPr>
        <w:sectPr w:rsidR="009456F4">
          <w:type w:val="continuous"/>
          <w:pgSz w:w="11910" w:h="16840"/>
          <w:pgMar w:top="1600" w:right="460" w:bottom="280" w:left="520" w:header="720" w:footer="720" w:gutter="0"/>
          <w:cols w:space="720"/>
        </w:sectPr>
      </w:pPr>
    </w:p>
    <w:p w:rsidR="009456F4" w:rsidRDefault="008637B9">
      <w:pPr>
        <w:pStyle w:val="Heading1"/>
      </w:pPr>
      <w:bookmarkStart w:id="1" w:name="Abstract"/>
      <w:bookmarkEnd w:id="1"/>
      <w:r>
        <w:rPr>
          <w:color w:val="BE5A13"/>
        </w:rPr>
        <w:lastRenderedPageBreak/>
        <w:t>Abstract</w:t>
      </w:r>
    </w:p>
    <w:p w:rsidR="009456F4" w:rsidRDefault="008637B9">
      <w:pPr>
        <w:pStyle w:val="BodyText"/>
        <w:spacing w:before="148"/>
        <w:ind w:left="100"/>
        <w:jc w:val="both"/>
      </w:pPr>
      <w:bookmarkStart w:id="2" w:name="Vaccines_are_generally_recommended_for_m"/>
      <w:bookmarkEnd w:id="2"/>
      <w:r>
        <w:t>Vaccines are generally recommended for members</w:t>
      </w:r>
      <w:r>
        <w:rPr>
          <w:spacing w:val="-50"/>
        </w:rPr>
        <w:t xml:space="preserve"> </w:t>
      </w:r>
      <w:r>
        <w:t>of the youngest age group at risk for experiencing</w:t>
      </w:r>
      <w:r>
        <w:rPr>
          <w:spacing w:val="1"/>
        </w:rPr>
        <w:t xml:space="preserve"> </w:t>
      </w:r>
      <w:r>
        <w:t>the disease for which vaccine efficacy and safety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demonstrated.</w:t>
      </w:r>
      <w:r>
        <w:rPr>
          <w:spacing w:val="1"/>
        </w:rPr>
        <w:t xml:space="preserve"> </w:t>
      </w:r>
      <w:r>
        <w:t>(</w:t>
      </w:r>
      <w:hyperlink r:id="rId6" w:anchor="ref-01">
        <w:r>
          <w:rPr>
            <w:color w:val="075290"/>
            <w:sz w:val="25"/>
            <w:u w:val="single" w:color="075290"/>
          </w:rPr>
          <w:t>1</w:t>
        </w:r>
      </w:hyperlink>
      <w:r>
        <w:t>)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for the age at which vaccines are administered are</w:t>
      </w:r>
      <w:r>
        <w:rPr>
          <w:spacing w:val="1"/>
        </w:rPr>
        <w:t xml:space="preserve"> </w:t>
      </w:r>
      <w:r>
        <w:t>influenced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age-specific</w:t>
      </w:r>
      <w:r>
        <w:rPr>
          <w:spacing w:val="1"/>
        </w:rPr>
        <w:t xml:space="preserve"> </w:t>
      </w:r>
      <w:r>
        <w:t>risks for disease,</w:t>
      </w:r>
      <w:r>
        <w:rPr>
          <w:spacing w:val="1"/>
        </w:rPr>
        <w:t xml:space="preserve"> </w:t>
      </w:r>
      <w:r>
        <w:t>age-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risks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complications,</w:t>
      </w:r>
      <w:r>
        <w:rPr>
          <w:spacing w:val="1"/>
        </w:rPr>
        <w:t xml:space="preserve"> </w:t>
      </w:r>
      <w:r>
        <w:t>age-specific</w:t>
      </w:r>
      <w:r>
        <w:rPr>
          <w:spacing w:val="1"/>
        </w:rPr>
        <w:t xml:space="preserve"> </w:t>
      </w:r>
      <w:r>
        <w:t>responses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vaccination,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interference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immune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passively</w:t>
      </w:r>
      <w:r>
        <w:rPr>
          <w:spacing w:val="1"/>
        </w:rPr>
        <w:t xml:space="preserve"> </w:t>
      </w:r>
      <w:r>
        <w:t>transferred</w:t>
      </w:r>
      <w:r>
        <w:rPr>
          <w:spacing w:val="1"/>
        </w:rPr>
        <w:t xml:space="preserve"> </w:t>
      </w:r>
      <w:r>
        <w:t>mate</w:t>
      </w:r>
      <w:r>
        <w:t>rnal</w:t>
      </w:r>
      <w:r>
        <w:rPr>
          <w:spacing w:val="1"/>
        </w:rPr>
        <w:t xml:space="preserve"> </w:t>
      </w:r>
      <w:r>
        <w:t>antibodies.</w:t>
      </w:r>
      <w:r>
        <w:rPr>
          <w:spacing w:val="1"/>
        </w:rPr>
        <w:t xml:space="preserve"> </w:t>
      </w:r>
      <w:r>
        <w:t>Simultaneously</w:t>
      </w:r>
      <w:r>
        <w:rPr>
          <w:spacing w:val="1"/>
        </w:rPr>
        <w:t xml:space="preserve"> </w:t>
      </w:r>
      <w:r>
        <w:t>administering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vaccines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eligible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visit</w:t>
      </w:r>
      <w:r>
        <w:rPr>
          <w:spacing w:val="-50"/>
        </w:rPr>
        <w:t xml:space="preserve"> </w:t>
      </w:r>
      <w:r>
        <w:t>increases</w:t>
      </w:r>
      <w:r>
        <w:rPr>
          <w:spacing w:val="1"/>
        </w:rPr>
        <w:t xml:space="preserve"> </w:t>
      </w:r>
      <w:r>
        <w:t>the probability that a child,</w:t>
      </w:r>
      <w:r>
        <w:rPr>
          <w:spacing w:val="52"/>
        </w:rPr>
        <w:t xml:space="preserve"> </w:t>
      </w:r>
      <w:r>
        <w:t>adolescent,</w:t>
      </w:r>
      <w:r>
        <w:rPr>
          <w:spacing w:val="1"/>
        </w:rPr>
        <w:t xml:space="preserve"> </w:t>
      </w:r>
      <w:r>
        <w:t>or adult will be vaccinated fully by the appropriate</w:t>
      </w:r>
      <w:r>
        <w:rPr>
          <w:spacing w:val="-50"/>
        </w:rPr>
        <w:t xml:space="preserve"> </w:t>
      </w:r>
      <w:r>
        <w:t>age. (</w:t>
      </w:r>
      <w:hyperlink r:id="rId7" w:anchor="ref-01">
        <w:r>
          <w:rPr>
            <w:color w:val="075290"/>
            <w:sz w:val="25"/>
            <w:u w:val="single" w:color="075290"/>
          </w:rPr>
          <w:t>1</w:t>
        </w:r>
      </w:hyperlink>
      <w:r>
        <w:t>) Vaccination providers should administer</w:t>
      </w:r>
      <w:r>
        <w:rPr>
          <w:spacing w:val="1"/>
        </w:rPr>
        <w:t xml:space="preserve"> </w:t>
      </w:r>
      <w:r>
        <w:t>vaccines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close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appropriate</w:t>
      </w:r>
      <w:r>
        <w:rPr>
          <w:spacing w:val="1"/>
        </w:rPr>
        <w:t xml:space="preserve"> </w:t>
      </w:r>
      <w:r>
        <w:t>age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intervals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possible.</w:t>
      </w:r>
      <w:r>
        <w:rPr>
          <w:spacing w:val="1"/>
        </w:rPr>
        <w:t xml:space="preserve"> </w:t>
      </w:r>
      <w:r>
        <w:t>Doses</w:t>
      </w:r>
      <w:r>
        <w:rPr>
          <w:spacing w:val="-50"/>
        </w:rPr>
        <w:t xml:space="preserve"> </w:t>
      </w:r>
      <w:r>
        <w:t>administered too close togethe</w:t>
      </w:r>
      <w:r>
        <w:t>r or at too young an</w:t>
      </w:r>
      <w:r>
        <w:rPr>
          <w:spacing w:val="-50"/>
        </w:rPr>
        <w:t xml:space="preserve"> </w:t>
      </w:r>
      <w:r>
        <w:t>age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suboptimal</w:t>
      </w:r>
      <w:r>
        <w:rPr>
          <w:spacing w:val="1"/>
        </w:rPr>
        <w:t xml:space="preserve"> </w:t>
      </w:r>
      <w:r>
        <w:t>immune</w:t>
      </w:r>
      <w:r>
        <w:rPr>
          <w:spacing w:val="1"/>
        </w:rPr>
        <w:t xml:space="preserve"> </w:t>
      </w:r>
      <w:r>
        <w:t>response.</w:t>
      </w:r>
      <w:r>
        <w:rPr>
          <w:spacing w:val="-50"/>
        </w:rPr>
        <w:t xml:space="preserve"> </w:t>
      </w:r>
      <w:r>
        <w:t>However, intervals between doses that are longer</w:t>
      </w:r>
      <w:r>
        <w:rPr>
          <w:spacing w:val="1"/>
        </w:rPr>
        <w:t xml:space="preserve"> </w:t>
      </w:r>
      <w:r>
        <w:t>than recommended typically do</w:t>
      </w:r>
      <w:r>
        <w:rPr>
          <w:spacing w:val="1"/>
        </w:rPr>
        <w:t xml:space="preserve"> </w:t>
      </w:r>
      <w:r>
        <w:t>not reduce final</w:t>
      </w:r>
      <w:r>
        <w:rPr>
          <w:spacing w:val="1"/>
        </w:rPr>
        <w:t xml:space="preserve"> </w:t>
      </w:r>
      <w:r>
        <w:t>antibody</w:t>
      </w:r>
      <w:r>
        <w:rPr>
          <w:spacing w:val="1"/>
        </w:rPr>
        <w:t xml:space="preserve"> </w:t>
      </w:r>
      <w:r>
        <w:t>concentrations,</w:t>
      </w:r>
      <w:r>
        <w:rPr>
          <w:spacing w:val="1"/>
        </w:rPr>
        <w:t xml:space="preserve"> </w:t>
      </w:r>
      <w:r>
        <w:t>although</w:t>
      </w:r>
      <w:r>
        <w:rPr>
          <w:spacing w:val="1"/>
        </w:rPr>
        <w:t xml:space="preserve"> </w:t>
      </w:r>
      <w:r>
        <w:t>protection</w:t>
      </w:r>
      <w:r>
        <w:rPr>
          <w:spacing w:val="1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attained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numb</w:t>
      </w:r>
      <w:r>
        <w:t>er of doses has been administered</w:t>
      </w:r>
      <w:proofErr w:type="gramStart"/>
      <w:r>
        <w:t>.(</w:t>
      </w:r>
      <w:proofErr w:type="gramEnd"/>
      <w:r>
        <w:rPr>
          <w:sz w:val="25"/>
        </w:rPr>
        <w:t>2</w:t>
      </w:r>
      <w:r>
        <w:t>) With 2</w:t>
      </w:r>
      <w:r>
        <w:rPr>
          <w:spacing w:val="-50"/>
        </w:rPr>
        <w:t xml:space="preserve"> </w:t>
      </w:r>
      <w:r>
        <w:t>exceptions, simultaneously administering the most</w:t>
      </w:r>
      <w:r>
        <w:rPr>
          <w:spacing w:val="-50"/>
        </w:rPr>
        <w:t xml:space="preserve"> </w:t>
      </w:r>
      <w:r>
        <w:t>widely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inactivated</w:t>
      </w:r>
      <w:r>
        <w:rPr>
          <w:spacing w:val="1"/>
        </w:rPr>
        <w:t xml:space="preserve"> </w:t>
      </w:r>
      <w:r>
        <w:t>vaccines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proofErr w:type="spellStart"/>
      <w:r>
        <w:t>seroconversion</w:t>
      </w:r>
      <w:proofErr w:type="spellEnd"/>
      <w:r>
        <w:rPr>
          <w:spacing w:val="1"/>
        </w:rPr>
        <w:t xml:space="preserve"> </w:t>
      </w:r>
      <w:r>
        <w:t>rates,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rates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adverse reactions similar to those observed when</w:t>
      </w:r>
      <w:r>
        <w:rPr>
          <w:spacing w:val="1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vaccines</w:t>
      </w:r>
      <w:r>
        <w:rPr>
          <w:spacing w:val="23"/>
        </w:rPr>
        <w:t xml:space="preserve"> </w:t>
      </w:r>
      <w:r>
        <w:t>are</w:t>
      </w:r>
      <w:r>
        <w:rPr>
          <w:spacing w:val="20"/>
        </w:rPr>
        <w:t xml:space="preserve"> </w:t>
      </w:r>
      <w:r>
        <w:t>administered</w:t>
      </w:r>
      <w:r>
        <w:rPr>
          <w:spacing w:val="22"/>
        </w:rPr>
        <w:t xml:space="preserve"> </w:t>
      </w:r>
      <w:r>
        <w:t>separately.</w:t>
      </w:r>
      <w:r>
        <w:rPr>
          <w:spacing w:val="22"/>
        </w:rPr>
        <w:t xml:space="preserve"> </w:t>
      </w:r>
      <w:r>
        <w:t>(3)</w:t>
      </w:r>
      <w:r>
        <w:rPr>
          <w:spacing w:val="22"/>
        </w:rPr>
        <w:t xml:space="preserve"> </w:t>
      </w:r>
      <w:r>
        <w:t>The</w:t>
      </w:r>
      <w:r>
        <w:rPr>
          <w:spacing w:val="-51"/>
        </w:rPr>
        <w:t xml:space="preserve"> </w:t>
      </w:r>
      <w:r>
        <w:t>2 exceptions: PCV13 should be administered first</w:t>
      </w:r>
      <w:r>
        <w:rPr>
          <w:spacing w:val="1"/>
        </w:rPr>
        <w:t xml:space="preserve"> </w:t>
      </w:r>
      <w:r>
        <w:t xml:space="preserve">and </w:t>
      </w:r>
      <w:proofErr w:type="spellStart"/>
      <w:r>
        <w:t>MenACWY</w:t>
      </w:r>
      <w:proofErr w:type="spellEnd"/>
      <w:r>
        <w:t>-D 4 weeks later. And separation of</w:t>
      </w:r>
      <w:r>
        <w:rPr>
          <w:spacing w:val="1"/>
        </w:rPr>
        <w:t xml:space="preserve"> </w:t>
      </w:r>
      <w:r>
        <w:t>doses</w:t>
      </w:r>
      <w:r>
        <w:rPr>
          <w:spacing w:val="-3"/>
        </w:rPr>
        <w:t xml:space="preserve"> </w:t>
      </w:r>
      <w:r>
        <w:t>between</w:t>
      </w:r>
      <w:r>
        <w:rPr>
          <w:spacing w:val="2"/>
        </w:rPr>
        <w:t xml:space="preserve"> </w:t>
      </w:r>
      <w:r>
        <w:t>PCV13</w:t>
      </w:r>
      <w:r>
        <w:rPr>
          <w:spacing w:val="2"/>
        </w:rPr>
        <w:t xml:space="preserve"> </w:t>
      </w:r>
      <w:r>
        <w:t>and</w:t>
      </w:r>
    </w:p>
    <w:p w:rsidR="009456F4" w:rsidRDefault="008637B9">
      <w:pPr>
        <w:pStyle w:val="BodyText"/>
      </w:pPr>
      <w:r>
        <w:br w:type="column"/>
      </w:r>
    </w:p>
    <w:p w:rsidR="009456F4" w:rsidRDefault="009456F4">
      <w:pPr>
        <w:pStyle w:val="BodyText"/>
        <w:spacing w:before="10"/>
        <w:rPr>
          <w:sz w:val="20"/>
        </w:rPr>
      </w:pPr>
    </w:p>
    <w:p w:rsidR="009456F4" w:rsidRDefault="008637B9">
      <w:pPr>
        <w:pStyle w:val="BodyText"/>
        <w:ind w:left="95" w:right="131"/>
        <w:jc w:val="both"/>
        <w:rPr>
          <w:sz w:val="22"/>
        </w:rPr>
      </w:pPr>
      <w:bookmarkStart w:id="3" w:name="PPSV23_will_be_6-12_months_recommended_f"/>
      <w:bookmarkEnd w:id="3"/>
      <w:r>
        <w:t>PPSV23 will be 6-12 months recommended for non-</w:t>
      </w:r>
      <w:r>
        <w:rPr>
          <w:spacing w:val="-50"/>
        </w:rPr>
        <w:t xml:space="preserve"> </w:t>
      </w:r>
      <w:r>
        <w:t>high risk, 8 week minimum for high risk if PCV13 is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first(3,4,5).With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exceptions,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inactivated</w:t>
      </w:r>
      <w:r>
        <w:rPr>
          <w:spacing w:val="1"/>
        </w:rPr>
        <w:t xml:space="preserve"> </w:t>
      </w:r>
      <w:r>
        <w:t>vaccine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simultaneously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time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different inactivated vaccine or live vaccine. (6)The</w:t>
      </w:r>
      <w:r>
        <w:rPr>
          <w:spacing w:val="1"/>
        </w:rPr>
        <w:t xml:space="preserve"> </w:t>
      </w:r>
      <w:r>
        <w:t>oral vaccines Ty21a typhoid vaccine and rotavirus</w:t>
      </w:r>
      <w:r>
        <w:rPr>
          <w:spacing w:val="1"/>
        </w:rPr>
        <w:t xml:space="preserve"> </w:t>
      </w:r>
      <w:r>
        <w:t>can be administered simultaneously with or at any</w:t>
      </w:r>
      <w:r>
        <w:rPr>
          <w:spacing w:val="1"/>
        </w:rPr>
        <w:t xml:space="preserve"> </w:t>
      </w:r>
      <w:r>
        <w:t>interval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vaccines</w:t>
      </w:r>
      <w:r>
        <w:rPr>
          <w:spacing w:val="1"/>
        </w:rPr>
        <w:t xml:space="preserve"> </w:t>
      </w:r>
      <w:r>
        <w:t>(injectable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intranasal)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indicated</w:t>
      </w:r>
      <w:r>
        <w:rPr>
          <w:spacing w:val="1"/>
        </w:rPr>
        <w:t xml:space="preserve"> </w:t>
      </w:r>
      <w:r>
        <w:t>(1).Two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injectable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nasally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live</w:t>
      </w:r>
      <w:r>
        <w:rPr>
          <w:spacing w:val="1"/>
        </w:rPr>
        <w:t xml:space="preserve"> </w:t>
      </w:r>
      <w:r>
        <w:t>vaccines not administered on the same day should</w:t>
      </w:r>
      <w:r>
        <w:rPr>
          <w:spacing w:val="1"/>
        </w:rPr>
        <w:t xml:space="preserve"> </w:t>
      </w:r>
      <w:r>
        <w:t xml:space="preserve">be separated by </w:t>
      </w:r>
      <w:r>
        <w:t>at least 4 weeks to minimize the</w:t>
      </w:r>
      <w:r>
        <w:rPr>
          <w:spacing w:val="1"/>
        </w:rPr>
        <w:t xml:space="preserve"> </w:t>
      </w:r>
      <w:r>
        <w:t>potential</w:t>
      </w:r>
      <w:r>
        <w:rPr>
          <w:spacing w:val="1"/>
        </w:rPr>
        <w:t xml:space="preserve"> </w:t>
      </w:r>
      <w:r>
        <w:t>risk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interference.</w:t>
      </w:r>
      <w:r>
        <w:rPr>
          <w:spacing w:val="1"/>
        </w:rPr>
        <w:t xml:space="preserve"> </w:t>
      </w:r>
      <w:r>
        <w:t>(7)Inactivated</w:t>
      </w:r>
      <w:r>
        <w:rPr>
          <w:spacing w:val="1"/>
        </w:rPr>
        <w:t xml:space="preserve"> </w:t>
      </w:r>
      <w:r>
        <w:t>vaccines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toxoids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either</w:t>
      </w:r>
      <w:r>
        <w:rPr>
          <w:spacing w:val="1"/>
        </w:rPr>
        <w:t xml:space="preserve"> </w:t>
      </w:r>
      <w:r>
        <w:t>simultaneously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interval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after receipt of an antibody-containing product. The</w:t>
      </w:r>
      <w:r>
        <w:rPr>
          <w:spacing w:val="-50"/>
        </w:rPr>
        <w:t xml:space="preserve"> </w:t>
      </w:r>
      <w:r>
        <w:t>vaccine or toxoid and antibody preparation 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different</w:t>
      </w:r>
      <w:r>
        <w:rPr>
          <w:spacing w:val="1"/>
        </w:rPr>
        <w:t xml:space="preserve"> </w:t>
      </w:r>
      <w:r>
        <w:t>sites</w:t>
      </w:r>
      <w:r>
        <w:rPr>
          <w:spacing w:val="1"/>
        </w:rPr>
        <w:t xml:space="preserve"> </w:t>
      </w:r>
      <w:r>
        <w:t>using</w:t>
      </w:r>
      <w:r>
        <w:rPr>
          <w:spacing w:val="5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</w:t>
      </w:r>
      <w:r>
        <w:rPr>
          <w:spacing w:val="1"/>
        </w:rPr>
        <w:t xml:space="preserve"> </w:t>
      </w:r>
      <w:r>
        <w:t>recommended</w:t>
      </w:r>
      <w:r>
        <w:rPr>
          <w:spacing w:val="1"/>
        </w:rPr>
        <w:t xml:space="preserve"> </w:t>
      </w:r>
      <w:r>
        <w:t>dose.</w:t>
      </w:r>
      <w:r>
        <w:rPr>
          <w:spacing w:val="1"/>
        </w:rPr>
        <w:t xml:space="preserve"> </w:t>
      </w:r>
      <w:r>
        <w:t>(8)Ty21a</w:t>
      </w:r>
      <w:r>
        <w:rPr>
          <w:spacing w:val="1"/>
        </w:rPr>
        <w:t xml:space="preserve"> </w:t>
      </w:r>
      <w:r>
        <w:t>typhoid,</w:t>
      </w:r>
      <w:r>
        <w:rPr>
          <w:spacing w:val="1"/>
        </w:rPr>
        <w:t xml:space="preserve"> </w:t>
      </w:r>
      <w:r>
        <w:t>yellow fever, LAIV, and rotavirus vaccines may be</w:t>
      </w:r>
      <w:r>
        <w:rPr>
          <w:spacing w:val="1"/>
        </w:rPr>
        <w:t xml:space="preserve"> </w:t>
      </w:r>
      <w:r>
        <w:t>administered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any time before,</w:t>
      </w:r>
      <w:r>
        <w:rPr>
          <w:spacing w:val="52"/>
        </w:rPr>
        <w:t xml:space="preserve"> </w:t>
      </w:r>
      <w:r>
        <w:t>concurrent with,</w:t>
      </w:r>
      <w:r>
        <w:rPr>
          <w:spacing w:val="1"/>
        </w:rPr>
        <w:t xml:space="preserve"> </w:t>
      </w:r>
      <w:r>
        <w:t>or after adminis</w:t>
      </w:r>
      <w:r>
        <w:t>tration of any antibody-containing</w:t>
      </w:r>
      <w:r>
        <w:rPr>
          <w:spacing w:val="1"/>
        </w:rPr>
        <w:t xml:space="preserve"> </w:t>
      </w:r>
      <w:r>
        <w:t>preparation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immune</w:t>
      </w:r>
      <w:r>
        <w:rPr>
          <w:spacing w:val="53"/>
        </w:rPr>
        <w:t xml:space="preserve"> </w:t>
      </w:r>
      <w:r>
        <w:t>globulin,</w:t>
      </w:r>
      <w:r>
        <w:rPr>
          <w:spacing w:val="1"/>
        </w:rPr>
        <w:t xml:space="preserve"> </w:t>
      </w:r>
      <w:proofErr w:type="spellStart"/>
      <w:r>
        <w:t>hyperimmune</w:t>
      </w:r>
      <w:proofErr w:type="spellEnd"/>
      <w:r>
        <w:rPr>
          <w:spacing w:val="1"/>
        </w:rPr>
        <w:t xml:space="preserve"> </w:t>
      </w:r>
      <w:r>
        <w:t>globulin,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intravenous</w:t>
      </w:r>
      <w:r>
        <w:rPr>
          <w:spacing w:val="1"/>
        </w:rPr>
        <w:t xml:space="preserve"> </w:t>
      </w:r>
      <w:r>
        <w:t>immune</w:t>
      </w:r>
      <w:r>
        <w:rPr>
          <w:spacing w:val="1"/>
        </w:rPr>
        <w:t xml:space="preserve"> </w:t>
      </w:r>
      <w:r>
        <w:t>globulin</w:t>
      </w:r>
      <w:r>
        <w:rPr>
          <w:spacing w:val="1"/>
        </w:rPr>
        <w:t xml:space="preserve"> </w:t>
      </w:r>
      <w:r>
        <w:t>(IGIV).</w:t>
      </w:r>
      <w:r>
        <w:rPr>
          <w:spacing w:val="1"/>
        </w:rPr>
        <w:t xml:space="preserve"> </w:t>
      </w:r>
      <w:r>
        <w:t>(9)Antibody-containing</w:t>
      </w:r>
      <w:r>
        <w:rPr>
          <w:spacing w:val="1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(e.g.</w:t>
      </w:r>
      <w:r>
        <w:rPr>
          <w:spacing w:val="1"/>
        </w:rPr>
        <w:t xml:space="preserve"> </w:t>
      </w:r>
      <w:r>
        <w:t>immune</w:t>
      </w:r>
      <w:r>
        <w:rPr>
          <w:spacing w:val="53"/>
        </w:rPr>
        <w:t xml:space="preserve"> </w:t>
      </w:r>
      <w:r>
        <w:t>globulin,</w:t>
      </w:r>
      <w:r>
        <w:rPr>
          <w:spacing w:val="1"/>
        </w:rPr>
        <w:t xml:space="preserve"> </w:t>
      </w:r>
      <w:proofErr w:type="spellStart"/>
      <w:r>
        <w:t>hyperimmune</w:t>
      </w:r>
      <w:proofErr w:type="spellEnd"/>
      <w:r>
        <w:rPr>
          <w:spacing w:val="1"/>
        </w:rPr>
        <w:t xml:space="preserve"> </w:t>
      </w:r>
      <w:r>
        <w:t>globulin,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IGIV)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inhibit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immune response to measles, rubella, mumps and</w:t>
      </w:r>
      <w:r>
        <w:rPr>
          <w:spacing w:val="1"/>
        </w:rPr>
        <w:t xml:space="preserve"> </w:t>
      </w:r>
      <w:proofErr w:type="gramStart"/>
      <w:r>
        <w:t>varicella</w:t>
      </w:r>
      <w:proofErr w:type="gramEnd"/>
      <w:r>
        <w:t xml:space="preserve"> vaccines for ≥3 months. Therefore, these</w:t>
      </w:r>
      <w:r>
        <w:rPr>
          <w:spacing w:val="1"/>
        </w:rPr>
        <w:t xml:space="preserve"> </w:t>
      </w:r>
      <w:r>
        <w:t>vaccines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delayed</w:t>
      </w:r>
      <w:r>
        <w:rPr>
          <w:spacing w:val="1"/>
        </w:rPr>
        <w:t xml:space="preserve"> </w:t>
      </w:r>
      <w:r>
        <w:t>until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passive</w:t>
      </w:r>
      <w:r>
        <w:rPr>
          <w:spacing w:val="1"/>
        </w:rPr>
        <w:t xml:space="preserve"> </w:t>
      </w:r>
      <w:r>
        <w:t>antibody</w:t>
      </w:r>
      <w:r>
        <w:rPr>
          <w:spacing w:val="-1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degraded.</w:t>
      </w:r>
      <w:r>
        <w:rPr>
          <w:spacing w:val="-3"/>
        </w:rPr>
        <w:t xml:space="preserve"> </w:t>
      </w:r>
      <w:r>
        <w:t>(8</w:t>
      </w:r>
      <w:r>
        <w:rPr>
          <w:sz w:val="22"/>
        </w:rPr>
        <w:t>)</w:t>
      </w:r>
    </w:p>
    <w:p w:rsidR="009456F4" w:rsidRDefault="009456F4">
      <w:pPr>
        <w:jc w:val="both"/>
        <w:sectPr w:rsidR="009456F4">
          <w:type w:val="continuous"/>
          <w:pgSz w:w="11910" w:h="16840"/>
          <w:pgMar w:top="1600" w:right="460" w:bottom="280" w:left="520" w:header="720" w:footer="720" w:gutter="0"/>
          <w:cols w:num="2" w:space="720" w:equalWidth="0">
            <w:col w:w="5317" w:space="40"/>
            <w:col w:w="5573"/>
          </w:cols>
        </w:sectPr>
      </w:pPr>
    </w:p>
    <w:p w:rsidR="009456F4" w:rsidRDefault="009456F4">
      <w:pPr>
        <w:pStyle w:val="BodyText"/>
        <w:spacing w:before="3"/>
        <w:rPr>
          <w:sz w:val="22"/>
        </w:rPr>
      </w:pPr>
    </w:p>
    <w:p w:rsidR="009456F4" w:rsidRDefault="008637B9">
      <w:pPr>
        <w:pStyle w:val="BodyText"/>
        <w:spacing w:line="40" w:lineRule="exact"/>
        <w:ind w:left="113"/>
        <w:rPr>
          <w:sz w:val="4"/>
        </w:rPr>
      </w:pPr>
      <w:r>
        <w:rPr>
          <w:sz w:val="4"/>
        </w:rPr>
      </w:r>
      <w:r>
        <w:rPr>
          <w:sz w:val="4"/>
        </w:rPr>
        <w:pict>
          <v:group id="_x0000_s1028" style="width:518.9pt;height:2pt;mso-position-horizontal-relative:char;mso-position-vertical-relative:line" coordsize="10378,40">
            <v:line id="_x0000_s1029" style="position:absolute" from="0,20" to="10377,20" strokecolor="#004080" strokeweight="2pt"/>
            <w10:wrap type="none"/>
            <w10:anchorlock/>
          </v:group>
        </w:pict>
      </w:r>
    </w:p>
    <w:p w:rsidR="009456F4" w:rsidRDefault="009456F4">
      <w:pPr>
        <w:pStyle w:val="BodyText"/>
        <w:rPr>
          <w:sz w:val="20"/>
        </w:rPr>
      </w:pPr>
    </w:p>
    <w:p w:rsidR="009456F4" w:rsidRDefault="009456F4">
      <w:pPr>
        <w:pStyle w:val="BodyText"/>
        <w:rPr>
          <w:sz w:val="20"/>
        </w:rPr>
      </w:pPr>
    </w:p>
    <w:p w:rsidR="009456F4" w:rsidRDefault="009456F4">
      <w:pPr>
        <w:pStyle w:val="BodyText"/>
        <w:spacing w:before="9"/>
        <w:rPr>
          <w:sz w:val="17"/>
        </w:rPr>
      </w:pPr>
    </w:p>
    <w:p w:rsidR="009456F4" w:rsidRDefault="008637B9">
      <w:pPr>
        <w:pStyle w:val="Heading1"/>
      </w:pPr>
      <w:r>
        <w:rPr>
          <w:color w:val="BE5A13"/>
        </w:rPr>
        <w:t>Publications:</w:t>
      </w:r>
    </w:p>
    <w:p w:rsidR="009456F4" w:rsidRDefault="009456F4">
      <w:pPr>
        <w:pStyle w:val="BodyText"/>
        <w:spacing w:before="9"/>
        <w:rPr>
          <w:rFonts w:ascii="Arial"/>
          <w:b/>
        </w:rPr>
      </w:pP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line="237" w:lineRule="auto"/>
      </w:pPr>
      <w:r>
        <w:t>CDC. Recommendation of the Advisory Committee on Immunization Practices (ACIP) for use of</w:t>
      </w:r>
      <w:r>
        <w:rPr>
          <w:spacing w:val="1"/>
        </w:rPr>
        <w:t xml:space="preserve"> </w:t>
      </w:r>
      <w:proofErr w:type="spellStart"/>
      <w:r>
        <w:t>quadrivalent</w:t>
      </w:r>
      <w:proofErr w:type="spellEnd"/>
      <w:r>
        <w:t xml:space="preserve"> meningococcal conjugate vaccine (</w:t>
      </w:r>
      <w:proofErr w:type="spellStart"/>
      <w:r>
        <w:t>MenACWY</w:t>
      </w:r>
      <w:proofErr w:type="spellEnd"/>
      <w:r>
        <w:t>-D) among children aged 9 through 23</w:t>
      </w:r>
      <w:r>
        <w:rPr>
          <w:spacing w:val="-59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increased</w:t>
      </w:r>
      <w:r>
        <w:rPr>
          <w:spacing w:val="-4"/>
        </w:rPr>
        <w:t xml:space="preserve"> </w:t>
      </w:r>
      <w:r>
        <w:t>risk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invasive</w:t>
      </w:r>
      <w:r>
        <w:rPr>
          <w:spacing w:val="-6"/>
        </w:rPr>
        <w:t xml:space="preserve"> </w:t>
      </w:r>
      <w:r>
        <w:t>meningococcal</w:t>
      </w:r>
      <w:r>
        <w:rPr>
          <w:spacing w:val="-3"/>
        </w:rPr>
        <w:t xml:space="preserve"> </w:t>
      </w:r>
      <w:r>
        <w:t>disease.</w:t>
      </w:r>
      <w:r>
        <w:rPr>
          <w:spacing w:val="-5"/>
        </w:rPr>
        <w:t xml:space="preserve"> </w:t>
      </w:r>
      <w:r>
        <w:rPr>
          <w:sz w:val="23"/>
        </w:rPr>
        <w:t>MMWR</w:t>
      </w:r>
      <w:r>
        <w:rPr>
          <w:spacing w:val="-9"/>
          <w:sz w:val="23"/>
        </w:rPr>
        <w:t xml:space="preserve"> </w:t>
      </w:r>
      <w:proofErr w:type="spellStart"/>
      <w:r>
        <w:rPr>
          <w:sz w:val="23"/>
        </w:rPr>
        <w:t>Morb</w:t>
      </w:r>
      <w:proofErr w:type="spellEnd"/>
      <w:r>
        <w:rPr>
          <w:spacing w:val="-12"/>
          <w:sz w:val="23"/>
        </w:rPr>
        <w:t xml:space="preserve"> </w:t>
      </w:r>
      <w:r>
        <w:rPr>
          <w:sz w:val="23"/>
        </w:rPr>
        <w:t>Mortal</w:t>
      </w:r>
      <w:r>
        <w:rPr>
          <w:spacing w:val="-7"/>
          <w:sz w:val="23"/>
        </w:rPr>
        <w:t xml:space="preserve"> </w:t>
      </w:r>
      <w:proofErr w:type="spellStart"/>
      <w:r>
        <w:rPr>
          <w:sz w:val="23"/>
        </w:rPr>
        <w:t>Wkly</w:t>
      </w:r>
      <w:proofErr w:type="spellEnd"/>
    </w:p>
    <w:p w:rsidR="009456F4" w:rsidRDefault="008637B9">
      <w:pPr>
        <w:spacing w:line="298" w:lineRule="exact"/>
        <w:ind w:left="820"/>
        <w:rPr>
          <w:rFonts w:ascii="Ebrima"/>
        </w:rPr>
      </w:pPr>
      <w:r>
        <w:rPr>
          <w:rFonts w:ascii="Ebrima"/>
          <w:sz w:val="23"/>
        </w:rPr>
        <w:t>Rep.</w:t>
      </w:r>
      <w:r>
        <w:rPr>
          <w:rFonts w:ascii="Ebrima"/>
          <w:spacing w:val="-11"/>
          <w:sz w:val="23"/>
        </w:rPr>
        <w:t xml:space="preserve"> </w:t>
      </w:r>
      <w:r>
        <w:rPr>
          <w:rFonts w:ascii="Ebrima"/>
        </w:rPr>
        <w:t>2011</w:t>
      </w:r>
      <w:proofErr w:type="gramStart"/>
      <w:r>
        <w:rPr>
          <w:rFonts w:ascii="Ebrima"/>
        </w:rPr>
        <w:t>;60</w:t>
      </w:r>
      <w:proofErr w:type="gramEnd"/>
      <w:r>
        <w:rPr>
          <w:rFonts w:ascii="Ebrima"/>
        </w:rPr>
        <w:t>(40):1391-1392.</w:t>
      </w:r>
    </w:p>
    <w:p w:rsidR="009456F4" w:rsidRDefault="009456F4">
      <w:pPr>
        <w:spacing w:line="298" w:lineRule="exact"/>
        <w:rPr>
          <w:rFonts w:ascii="Ebrima"/>
        </w:rPr>
        <w:sectPr w:rsidR="009456F4">
          <w:type w:val="continuous"/>
          <w:pgSz w:w="11910" w:h="16840"/>
          <w:pgMar w:top="1600" w:right="460" w:bottom="280" w:left="520" w:header="720" w:footer="720" w:gutter="0"/>
          <w:cols w:space="720"/>
        </w:sectPr>
      </w:pP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before="147" w:line="235" w:lineRule="auto"/>
        <w:ind w:right="185"/>
        <w:jc w:val="both"/>
      </w:pPr>
      <w:r>
        <w:lastRenderedPageBreak/>
        <w:t xml:space="preserve">Atkinson WL, Pickering LK, Schwartz B, </w:t>
      </w:r>
      <w:proofErr w:type="spellStart"/>
      <w:r>
        <w:t>Weniger</w:t>
      </w:r>
      <w:proofErr w:type="spellEnd"/>
      <w:r>
        <w:t xml:space="preserve"> BG, </w:t>
      </w:r>
      <w:proofErr w:type="spellStart"/>
      <w:r>
        <w:t>Iskander</w:t>
      </w:r>
      <w:proofErr w:type="spellEnd"/>
      <w:r>
        <w:t xml:space="preserve"> JK, Watson JC. General recommendations</w:t>
      </w:r>
      <w:r>
        <w:rPr>
          <w:spacing w:val="-58"/>
        </w:rPr>
        <w:t xml:space="preserve"> </w:t>
      </w:r>
      <w:r>
        <w:t>on immunization. Recommendations of the Advisory Committee on Immuni</w:t>
      </w:r>
      <w:r>
        <w:t>zation Practices (ACIP) and</w:t>
      </w:r>
      <w:r>
        <w:rPr>
          <w:spacing w:val="-5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Academy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t>Physicians</w:t>
      </w:r>
      <w:r>
        <w:rPr>
          <w:spacing w:val="-3"/>
        </w:rPr>
        <w:t xml:space="preserve"> </w:t>
      </w:r>
      <w:r>
        <w:t>(AAFP).</w:t>
      </w:r>
      <w:r>
        <w:rPr>
          <w:spacing w:val="-2"/>
        </w:rPr>
        <w:t xml:space="preserve"> </w:t>
      </w:r>
      <w:r>
        <w:rPr>
          <w:sz w:val="23"/>
        </w:rPr>
        <w:t>MMWR</w:t>
      </w:r>
      <w:r>
        <w:rPr>
          <w:spacing w:val="-10"/>
          <w:sz w:val="23"/>
        </w:rPr>
        <w:t xml:space="preserve"> </w:t>
      </w:r>
      <w:proofErr w:type="spellStart"/>
      <w:r>
        <w:rPr>
          <w:sz w:val="23"/>
        </w:rPr>
        <w:t>Recomm</w:t>
      </w:r>
      <w:proofErr w:type="spellEnd"/>
      <w:r>
        <w:rPr>
          <w:spacing w:val="-7"/>
          <w:sz w:val="23"/>
        </w:rPr>
        <w:t xml:space="preserve"> </w:t>
      </w:r>
      <w:r>
        <w:rPr>
          <w:sz w:val="23"/>
        </w:rPr>
        <w:t>Rep.</w:t>
      </w:r>
      <w:r>
        <w:rPr>
          <w:spacing w:val="-4"/>
          <w:sz w:val="23"/>
        </w:rPr>
        <w:t xml:space="preserve"> </w:t>
      </w:r>
      <w:r>
        <w:t>2002</w:t>
      </w:r>
      <w:proofErr w:type="gramStart"/>
      <w:r>
        <w:t>;51</w:t>
      </w:r>
      <w:proofErr w:type="gramEnd"/>
      <w:r>
        <w:t>(RR-2):1-35.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before="89" w:line="156" w:lineRule="auto"/>
        <w:ind w:right="146"/>
        <w:jc w:val="both"/>
        <w:rPr>
          <w:rFonts w:ascii="Arial"/>
          <w:color w:val="BE5A13"/>
          <w:sz w:val="20"/>
        </w:rPr>
      </w:pPr>
      <w:r>
        <w:pict>
          <v:rect id="_x0000_s1027" style="position:absolute;left:0;text-align:left;margin-left:47.55pt;margin-top:24.35pt;width:519.7pt;height:15pt;z-index:-15773184;mso-position-horizontal-relative:page" stroked="f">
            <w10:wrap anchorx="page"/>
          </v:rect>
        </w:pict>
      </w:r>
      <w:r>
        <w:t xml:space="preserve">King GE, </w:t>
      </w:r>
      <w:proofErr w:type="spellStart"/>
      <w:r>
        <w:t>Hadler</w:t>
      </w:r>
      <w:proofErr w:type="spellEnd"/>
      <w:r>
        <w:t xml:space="preserve"> SC. Simultaneous administration of childhood vaccines: an important public health</w:t>
      </w:r>
      <w:r>
        <w:rPr>
          <w:spacing w:val="1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 safe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efficacious.</w:t>
      </w:r>
      <w:r>
        <w:rPr>
          <w:spacing w:val="3"/>
        </w:rPr>
        <w:t xml:space="preserve"> </w:t>
      </w:r>
      <w:proofErr w:type="spellStart"/>
      <w:r>
        <w:rPr>
          <w:sz w:val="23"/>
        </w:rPr>
        <w:t>Pediatr</w:t>
      </w:r>
      <w:proofErr w:type="spellEnd"/>
      <w:r>
        <w:rPr>
          <w:spacing w:val="-5"/>
          <w:sz w:val="23"/>
        </w:rPr>
        <w:t xml:space="preserve"> </w:t>
      </w:r>
      <w:r>
        <w:rPr>
          <w:sz w:val="23"/>
        </w:rPr>
        <w:t>Infect</w:t>
      </w:r>
      <w:r>
        <w:rPr>
          <w:spacing w:val="-5"/>
          <w:sz w:val="23"/>
        </w:rPr>
        <w:t xml:space="preserve"> </w:t>
      </w:r>
      <w:r>
        <w:rPr>
          <w:sz w:val="23"/>
        </w:rPr>
        <w:t>Dis</w:t>
      </w:r>
      <w:r>
        <w:rPr>
          <w:spacing w:val="-3"/>
          <w:sz w:val="23"/>
        </w:rPr>
        <w:t xml:space="preserve"> </w:t>
      </w:r>
      <w:r>
        <w:rPr>
          <w:sz w:val="23"/>
        </w:rPr>
        <w:t>J.</w:t>
      </w:r>
      <w:r>
        <w:rPr>
          <w:spacing w:val="-2"/>
          <w:sz w:val="23"/>
        </w:rPr>
        <w:t xml:space="preserve"> </w:t>
      </w:r>
      <w:r>
        <w:t>1994;13(5):394-407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before="7" w:line="235" w:lineRule="auto"/>
      </w:pPr>
      <w:r>
        <w:t>CDC. Recommendation of the Advisory Committee on Immunization Practices (ACIP) for use of</w:t>
      </w:r>
      <w:r>
        <w:rPr>
          <w:spacing w:val="1"/>
        </w:rPr>
        <w:t xml:space="preserve"> </w:t>
      </w:r>
      <w:proofErr w:type="spellStart"/>
      <w:r>
        <w:t>quadrivalent</w:t>
      </w:r>
      <w:proofErr w:type="spellEnd"/>
      <w:r>
        <w:t xml:space="preserve"> meningococcal conjugate vaccine (</w:t>
      </w:r>
      <w:proofErr w:type="spellStart"/>
      <w:r>
        <w:t>MenACWY</w:t>
      </w:r>
      <w:proofErr w:type="spellEnd"/>
      <w:r>
        <w:t>-D) among children aged 9 through 23</w:t>
      </w:r>
      <w:r>
        <w:rPr>
          <w:spacing w:val="-59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increased</w:t>
      </w:r>
      <w:r>
        <w:rPr>
          <w:spacing w:val="-5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invasi</w:t>
      </w:r>
      <w:r>
        <w:t>ve</w:t>
      </w:r>
      <w:r>
        <w:rPr>
          <w:spacing w:val="-5"/>
        </w:rPr>
        <w:t xml:space="preserve"> </w:t>
      </w:r>
      <w:r>
        <w:t>meningococcal</w:t>
      </w:r>
      <w:r>
        <w:rPr>
          <w:spacing w:val="-4"/>
        </w:rPr>
        <w:t xml:space="preserve"> </w:t>
      </w:r>
      <w:r>
        <w:t>disease.</w:t>
      </w:r>
      <w:r>
        <w:rPr>
          <w:spacing w:val="-7"/>
        </w:rPr>
        <w:t xml:space="preserve"> </w:t>
      </w:r>
      <w:r>
        <w:rPr>
          <w:sz w:val="23"/>
        </w:rPr>
        <w:t>MMWR</w:t>
      </w:r>
      <w:r>
        <w:rPr>
          <w:spacing w:val="-9"/>
          <w:sz w:val="23"/>
        </w:rPr>
        <w:t xml:space="preserve"> </w:t>
      </w:r>
      <w:proofErr w:type="spellStart"/>
      <w:r>
        <w:rPr>
          <w:sz w:val="23"/>
        </w:rPr>
        <w:t>Morb</w:t>
      </w:r>
      <w:proofErr w:type="spellEnd"/>
      <w:r>
        <w:rPr>
          <w:spacing w:val="-12"/>
          <w:sz w:val="23"/>
        </w:rPr>
        <w:t xml:space="preserve"> </w:t>
      </w:r>
      <w:r>
        <w:rPr>
          <w:sz w:val="23"/>
        </w:rPr>
        <w:t>Mortal</w:t>
      </w:r>
      <w:r>
        <w:rPr>
          <w:spacing w:val="-6"/>
          <w:sz w:val="23"/>
        </w:rPr>
        <w:t xml:space="preserve"> </w:t>
      </w:r>
      <w:proofErr w:type="spellStart"/>
      <w:r>
        <w:rPr>
          <w:sz w:val="23"/>
        </w:rPr>
        <w:t>Wkly</w:t>
      </w:r>
      <w:proofErr w:type="spellEnd"/>
    </w:p>
    <w:p w:rsidR="009456F4" w:rsidRDefault="008637B9">
      <w:pPr>
        <w:spacing w:line="300" w:lineRule="exact"/>
        <w:ind w:left="820"/>
        <w:rPr>
          <w:rFonts w:ascii="Ebrima"/>
        </w:rPr>
      </w:pPr>
      <w:r>
        <w:rPr>
          <w:rFonts w:ascii="Ebrima"/>
          <w:sz w:val="23"/>
        </w:rPr>
        <w:t>Rep.</w:t>
      </w:r>
      <w:r>
        <w:rPr>
          <w:rFonts w:ascii="Ebrima"/>
          <w:spacing w:val="-11"/>
          <w:sz w:val="23"/>
        </w:rPr>
        <w:t xml:space="preserve"> </w:t>
      </w:r>
      <w:r>
        <w:rPr>
          <w:rFonts w:ascii="Ebrima"/>
        </w:rPr>
        <w:t>2011</w:t>
      </w:r>
      <w:proofErr w:type="gramStart"/>
      <w:r>
        <w:rPr>
          <w:rFonts w:ascii="Ebrima"/>
        </w:rPr>
        <w:t>;60</w:t>
      </w:r>
      <w:proofErr w:type="gramEnd"/>
      <w:r>
        <w:rPr>
          <w:rFonts w:ascii="Ebrima"/>
        </w:rPr>
        <w:t>(40):1391-1392.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before="4" w:line="235" w:lineRule="auto"/>
        <w:ind w:right="183"/>
        <w:jc w:val="both"/>
      </w:pPr>
      <w:r>
        <w:t xml:space="preserve">Atkinson WL, Pickering LK, Schwartz B, </w:t>
      </w:r>
      <w:proofErr w:type="spellStart"/>
      <w:r>
        <w:t>Weniger</w:t>
      </w:r>
      <w:proofErr w:type="spellEnd"/>
      <w:r>
        <w:t xml:space="preserve"> BG, </w:t>
      </w:r>
      <w:proofErr w:type="spellStart"/>
      <w:r>
        <w:t>Iskander</w:t>
      </w:r>
      <w:proofErr w:type="spellEnd"/>
      <w:r>
        <w:t xml:space="preserve"> JK, Watson JC. General recommendations</w:t>
      </w:r>
      <w:r>
        <w:rPr>
          <w:spacing w:val="-58"/>
        </w:rPr>
        <w:t xml:space="preserve"> </w:t>
      </w:r>
      <w:r>
        <w:t>on immunization. Recommendations of the Advisory Committee on Immunization Practi</w:t>
      </w:r>
      <w:r>
        <w:t>ces (ACIP) and</w:t>
      </w:r>
      <w:r>
        <w:rPr>
          <w:spacing w:val="-5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American</w:t>
      </w:r>
      <w:r>
        <w:rPr>
          <w:spacing w:val="-5"/>
        </w:rPr>
        <w:t xml:space="preserve"> </w:t>
      </w:r>
      <w:r>
        <w:t>Academy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Family</w:t>
      </w:r>
      <w:r>
        <w:rPr>
          <w:spacing w:val="-6"/>
        </w:rPr>
        <w:t xml:space="preserve"> </w:t>
      </w:r>
      <w:r>
        <w:t>Physicians</w:t>
      </w:r>
      <w:r>
        <w:rPr>
          <w:spacing w:val="-3"/>
        </w:rPr>
        <w:t xml:space="preserve"> </w:t>
      </w:r>
      <w:r>
        <w:t>(AAFP).</w:t>
      </w:r>
      <w:r>
        <w:rPr>
          <w:spacing w:val="-2"/>
        </w:rPr>
        <w:t xml:space="preserve"> </w:t>
      </w:r>
      <w:r>
        <w:rPr>
          <w:sz w:val="23"/>
        </w:rPr>
        <w:t>MMWR</w:t>
      </w:r>
      <w:r>
        <w:rPr>
          <w:spacing w:val="-10"/>
          <w:sz w:val="23"/>
        </w:rPr>
        <w:t xml:space="preserve"> </w:t>
      </w:r>
      <w:proofErr w:type="spellStart"/>
      <w:r>
        <w:rPr>
          <w:sz w:val="23"/>
        </w:rPr>
        <w:t>Recomm</w:t>
      </w:r>
      <w:proofErr w:type="spellEnd"/>
      <w:r>
        <w:rPr>
          <w:spacing w:val="-7"/>
          <w:sz w:val="23"/>
        </w:rPr>
        <w:t xml:space="preserve"> </w:t>
      </w:r>
      <w:r>
        <w:rPr>
          <w:sz w:val="23"/>
        </w:rPr>
        <w:t>Rep.</w:t>
      </w:r>
      <w:r>
        <w:rPr>
          <w:spacing w:val="-4"/>
          <w:sz w:val="23"/>
        </w:rPr>
        <w:t xml:space="preserve"> </w:t>
      </w:r>
      <w:r>
        <w:t>2002</w:t>
      </w:r>
      <w:proofErr w:type="gramStart"/>
      <w:r>
        <w:t>;51</w:t>
      </w:r>
      <w:proofErr w:type="gramEnd"/>
      <w:r>
        <w:t>(RR-2):1-35.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before="14" w:line="225" w:lineRule="auto"/>
        <w:ind w:right="564"/>
        <w:jc w:val="both"/>
        <w:rPr>
          <w:rFonts w:ascii="Segoe UI"/>
          <w:sz w:val="26"/>
        </w:rPr>
      </w:pPr>
      <w:r>
        <w:t xml:space="preserve">King GE, </w:t>
      </w:r>
      <w:proofErr w:type="spellStart"/>
      <w:r>
        <w:t>Hadler</w:t>
      </w:r>
      <w:proofErr w:type="spellEnd"/>
      <w:r>
        <w:t xml:space="preserve"> SC. Simultaneous administration of childhood vaccines: an important public health</w:t>
      </w:r>
      <w:r>
        <w:rPr>
          <w:spacing w:val="-58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efficacious.</w:t>
      </w:r>
      <w:r>
        <w:rPr>
          <w:spacing w:val="3"/>
        </w:rPr>
        <w:t xml:space="preserve"> </w:t>
      </w:r>
      <w:proofErr w:type="spellStart"/>
      <w:r>
        <w:rPr>
          <w:sz w:val="23"/>
        </w:rPr>
        <w:t>Pediatr</w:t>
      </w:r>
      <w:proofErr w:type="spellEnd"/>
      <w:r>
        <w:rPr>
          <w:spacing w:val="-6"/>
          <w:sz w:val="23"/>
        </w:rPr>
        <w:t xml:space="preserve"> </w:t>
      </w:r>
      <w:r>
        <w:rPr>
          <w:sz w:val="23"/>
        </w:rPr>
        <w:t>Infect</w:t>
      </w:r>
      <w:r>
        <w:rPr>
          <w:spacing w:val="-5"/>
          <w:sz w:val="23"/>
        </w:rPr>
        <w:t xml:space="preserve"> </w:t>
      </w:r>
      <w:r>
        <w:rPr>
          <w:sz w:val="23"/>
        </w:rPr>
        <w:t>Dis</w:t>
      </w:r>
      <w:r>
        <w:rPr>
          <w:spacing w:val="-4"/>
          <w:sz w:val="23"/>
        </w:rPr>
        <w:t xml:space="preserve"> </w:t>
      </w:r>
      <w:r>
        <w:rPr>
          <w:sz w:val="23"/>
        </w:rPr>
        <w:t xml:space="preserve">J. </w:t>
      </w:r>
      <w:r>
        <w:t>1994</w:t>
      </w:r>
      <w:proofErr w:type="gramStart"/>
      <w:r>
        <w:t>;13</w:t>
      </w:r>
      <w:proofErr w:type="gramEnd"/>
      <w:r>
        <w:t>(5):394-407.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ind w:right="927"/>
        <w:rPr>
          <w:rFonts w:ascii="Segoe UI"/>
          <w:sz w:val="26"/>
        </w:rPr>
      </w:pPr>
      <w:r>
        <w:rPr>
          <w:rFonts w:ascii="Segoe UI"/>
          <w:sz w:val="26"/>
        </w:rPr>
        <w:t>Kroger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AT,</w:t>
      </w:r>
      <w:r>
        <w:rPr>
          <w:rFonts w:ascii="Segoe UI"/>
          <w:spacing w:val="-5"/>
          <w:sz w:val="26"/>
        </w:rPr>
        <w:t xml:space="preserve"> </w:t>
      </w:r>
      <w:proofErr w:type="spellStart"/>
      <w:r>
        <w:rPr>
          <w:rFonts w:ascii="Segoe UI"/>
          <w:sz w:val="26"/>
        </w:rPr>
        <w:t>Sumaya</w:t>
      </w:r>
      <w:proofErr w:type="spellEnd"/>
      <w:r>
        <w:rPr>
          <w:rFonts w:ascii="Segoe UI"/>
          <w:spacing w:val="-2"/>
          <w:sz w:val="26"/>
        </w:rPr>
        <w:t xml:space="preserve"> </w:t>
      </w:r>
      <w:r>
        <w:rPr>
          <w:rFonts w:ascii="Segoe UI"/>
          <w:sz w:val="26"/>
        </w:rPr>
        <w:t>CV,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Pickering</w:t>
      </w:r>
      <w:r>
        <w:rPr>
          <w:rFonts w:ascii="Segoe UI"/>
          <w:spacing w:val="-3"/>
          <w:sz w:val="26"/>
        </w:rPr>
        <w:t xml:space="preserve"> </w:t>
      </w:r>
      <w:r>
        <w:rPr>
          <w:rFonts w:ascii="Segoe UI"/>
          <w:sz w:val="26"/>
        </w:rPr>
        <w:t>LK,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Atkinson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z w:val="26"/>
        </w:rPr>
        <w:t>WL.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General</w:t>
      </w:r>
      <w:r>
        <w:rPr>
          <w:rFonts w:ascii="Segoe UI"/>
          <w:spacing w:val="-2"/>
          <w:sz w:val="26"/>
        </w:rPr>
        <w:t xml:space="preserve"> </w:t>
      </w:r>
      <w:r>
        <w:rPr>
          <w:rFonts w:ascii="Segoe UI"/>
          <w:sz w:val="26"/>
        </w:rPr>
        <w:t>recommendations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on</w:t>
      </w:r>
      <w:r>
        <w:rPr>
          <w:rFonts w:ascii="Segoe UI"/>
          <w:spacing w:val="-69"/>
          <w:sz w:val="26"/>
        </w:rPr>
        <w:t xml:space="preserve"> </w:t>
      </w:r>
      <w:r>
        <w:rPr>
          <w:rFonts w:ascii="Segoe UI"/>
          <w:sz w:val="26"/>
        </w:rPr>
        <w:t>immunization: recommendations of the Advisory Committee on Immunization</w:t>
      </w:r>
      <w:r>
        <w:rPr>
          <w:rFonts w:ascii="Segoe UI"/>
          <w:spacing w:val="1"/>
          <w:sz w:val="26"/>
        </w:rPr>
        <w:t xml:space="preserve"> </w:t>
      </w:r>
      <w:r>
        <w:rPr>
          <w:rFonts w:ascii="Segoe UI"/>
          <w:sz w:val="26"/>
        </w:rPr>
        <w:t>Practices</w:t>
      </w:r>
      <w:r>
        <w:rPr>
          <w:rFonts w:ascii="Segoe UI"/>
          <w:spacing w:val="-3"/>
          <w:sz w:val="26"/>
        </w:rPr>
        <w:t xml:space="preserve"> </w:t>
      </w:r>
      <w:r>
        <w:rPr>
          <w:rFonts w:ascii="Segoe UI"/>
          <w:sz w:val="26"/>
        </w:rPr>
        <w:t xml:space="preserve">(ACIP). </w:t>
      </w:r>
      <w:r>
        <w:rPr>
          <w:rFonts w:ascii="Segoe UI"/>
          <w:i/>
          <w:sz w:val="26"/>
        </w:rPr>
        <w:t>MMWR</w:t>
      </w:r>
      <w:r>
        <w:rPr>
          <w:rFonts w:ascii="Segoe UI"/>
          <w:i/>
          <w:spacing w:val="-3"/>
          <w:sz w:val="26"/>
        </w:rPr>
        <w:t xml:space="preserve"> </w:t>
      </w:r>
      <w:proofErr w:type="spellStart"/>
      <w:r>
        <w:rPr>
          <w:rFonts w:ascii="Segoe UI"/>
          <w:i/>
          <w:sz w:val="26"/>
        </w:rPr>
        <w:t>Recomm</w:t>
      </w:r>
      <w:proofErr w:type="spellEnd"/>
      <w:r>
        <w:rPr>
          <w:rFonts w:ascii="Segoe UI"/>
          <w:i/>
          <w:spacing w:val="-1"/>
          <w:sz w:val="26"/>
        </w:rPr>
        <w:t xml:space="preserve"> </w:t>
      </w:r>
      <w:r>
        <w:rPr>
          <w:rFonts w:ascii="Segoe UI"/>
          <w:i/>
          <w:sz w:val="26"/>
        </w:rPr>
        <w:t>Rep.</w:t>
      </w:r>
      <w:r>
        <w:rPr>
          <w:rFonts w:ascii="Segoe UI"/>
          <w:i/>
          <w:spacing w:val="-1"/>
          <w:sz w:val="26"/>
        </w:rPr>
        <w:t xml:space="preserve"> </w:t>
      </w:r>
      <w:r>
        <w:rPr>
          <w:rFonts w:ascii="Segoe UI"/>
          <w:sz w:val="26"/>
        </w:rPr>
        <w:t>2011:1-60.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spacing w:before="2"/>
        <w:ind w:right="602"/>
        <w:rPr>
          <w:rFonts w:ascii="Segoe UI"/>
          <w:sz w:val="26"/>
        </w:rPr>
      </w:pPr>
      <w:proofErr w:type="spellStart"/>
      <w:r>
        <w:rPr>
          <w:rFonts w:ascii="Segoe UI"/>
          <w:sz w:val="26"/>
        </w:rPr>
        <w:t>Siber</w:t>
      </w:r>
      <w:proofErr w:type="spellEnd"/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GR,</w:t>
      </w:r>
      <w:r>
        <w:rPr>
          <w:rFonts w:ascii="Segoe UI"/>
          <w:spacing w:val="-5"/>
          <w:sz w:val="26"/>
        </w:rPr>
        <w:t xml:space="preserve"> </w:t>
      </w:r>
      <w:proofErr w:type="spellStart"/>
      <w:r>
        <w:rPr>
          <w:rFonts w:ascii="Segoe UI"/>
          <w:sz w:val="26"/>
        </w:rPr>
        <w:t>Snydman</w:t>
      </w:r>
      <w:proofErr w:type="spellEnd"/>
      <w:r>
        <w:rPr>
          <w:rFonts w:ascii="Segoe UI"/>
          <w:spacing w:val="-1"/>
          <w:sz w:val="26"/>
        </w:rPr>
        <w:t xml:space="preserve"> </w:t>
      </w:r>
      <w:r>
        <w:rPr>
          <w:rFonts w:ascii="Segoe UI"/>
          <w:sz w:val="26"/>
        </w:rPr>
        <w:t>DR.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Use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of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immune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globulin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in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the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prevention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and</w:t>
      </w:r>
      <w:r>
        <w:rPr>
          <w:rFonts w:ascii="Segoe UI"/>
          <w:spacing w:val="-1"/>
          <w:sz w:val="26"/>
        </w:rPr>
        <w:t xml:space="preserve"> </w:t>
      </w:r>
      <w:r>
        <w:rPr>
          <w:rFonts w:ascii="Segoe UI"/>
          <w:sz w:val="26"/>
        </w:rPr>
        <w:t>treatment</w:t>
      </w:r>
      <w:r>
        <w:rPr>
          <w:rFonts w:ascii="Segoe UI"/>
          <w:spacing w:val="-1"/>
          <w:sz w:val="26"/>
        </w:rPr>
        <w:t xml:space="preserve"> </w:t>
      </w:r>
      <w:r>
        <w:rPr>
          <w:rFonts w:ascii="Segoe UI"/>
          <w:sz w:val="26"/>
        </w:rPr>
        <w:t>of</w:t>
      </w:r>
      <w:r>
        <w:rPr>
          <w:rFonts w:ascii="Segoe UI"/>
          <w:spacing w:val="-68"/>
          <w:sz w:val="26"/>
        </w:rPr>
        <w:t xml:space="preserve"> </w:t>
      </w:r>
      <w:r>
        <w:rPr>
          <w:rFonts w:ascii="Segoe UI"/>
          <w:sz w:val="26"/>
        </w:rPr>
        <w:t xml:space="preserve">infections. In: Remington J, Swartz M, eds. </w:t>
      </w:r>
      <w:r>
        <w:rPr>
          <w:rFonts w:ascii="Segoe UI"/>
          <w:i/>
          <w:sz w:val="26"/>
        </w:rPr>
        <w:t>Current clinical topics in infectious</w:t>
      </w:r>
      <w:r>
        <w:rPr>
          <w:rFonts w:ascii="Segoe UI"/>
          <w:i/>
          <w:spacing w:val="1"/>
          <w:sz w:val="26"/>
        </w:rPr>
        <w:t xml:space="preserve"> </w:t>
      </w:r>
      <w:r>
        <w:rPr>
          <w:rFonts w:ascii="Segoe UI"/>
          <w:i/>
          <w:sz w:val="26"/>
        </w:rPr>
        <w:t>diseases.</w:t>
      </w:r>
      <w:r>
        <w:rPr>
          <w:rFonts w:ascii="Segoe UI"/>
          <w:i/>
          <w:spacing w:val="-3"/>
          <w:sz w:val="26"/>
        </w:rPr>
        <w:t xml:space="preserve"> </w:t>
      </w:r>
      <w:proofErr w:type="spellStart"/>
      <w:r>
        <w:rPr>
          <w:rFonts w:ascii="Segoe UI"/>
          <w:sz w:val="26"/>
        </w:rPr>
        <w:t>Vol</w:t>
      </w:r>
      <w:proofErr w:type="spellEnd"/>
      <w:r>
        <w:rPr>
          <w:rFonts w:ascii="Segoe UI"/>
          <w:sz w:val="26"/>
        </w:rPr>
        <w:t xml:space="preserve"> 12.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Malden,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MA:</w:t>
      </w:r>
      <w:r>
        <w:rPr>
          <w:rFonts w:ascii="Segoe UI"/>
          <w:spacing w:val="-3"/>
          <w:sz w:val="26"/>
        </w:rPr>
        <w:t xml:space="preserve"> </w:t>
      </w:r>
      <w:r>
        <w:rPr>
          <w:rFonts w:ascii="Segoe UI"/>
          <w:sz w:val="26"/>
        </w:rPr>
        <w:t>Blackwell Science;</w:t>
      </w:r>
      <w:r>
        <w:rPr>
          <w:rFonts w:ascii="Segoe UI"/>
          <w:spacing w:val="-4"/>
          <w:sz w:val="26"/>
        </w:rPr>
        <w:t xml:space="preserve"> </w:t>
      </w:r>
      <w:r>
        <w:rPr>
          <w:rFonts w:ascii="Segoe UI"/>
          <w:sz w:val="26"/>
        </w:rPr>
        <w:t>1992.</w:t>
      </w:r>
    </w:p>
    <w:p w:rsidR="009456F4" w:rsidRDefault="008637B9">
      <w:pPr>
        <w:pStyle w:val="ListParagraph"/>
        <w:numPr>
          <w:ilvl w:val="0"/>
          <w:numId w:val="1"/>
        </w:numPr>
        <w:tabs>
          <w:tab w:val="left" w:pos="821"/>
        </w:tabs>
        <w:ind w:right="1795"/>
        <w:rPr>
          <w:rFonts w:ascii="Segoe UI"/>
          <w:sz w:val="26"/>
        </w:rPr>
      </w:pPr>
      <w:proofErr w:type="spellStart"/>
      <w:r>
        <w:rPr>
          <w:rFonts w:ascii="Segoe UI"/>
          <w:sz w:val="26"/>
        </w:rPr>
        <w:t>Harpaz</w:t>
      </w:r>
      <w:proofErr w:type="spellEnd"/>
      <w:r>
        <w:rPr>
          <w:rFonts w:ascii="Segoe UI"/>
          <w:sz w:val="26"/>
        </w:rPr>
        <w:t xml:space="preserve"> R, Ortega-Sanchez IR, Seward JF. Prevention of herpes zoster:</w:t>
      </w:r>
      <w:r>
        <w:rPr>
          <w:rFonts w:ascii="Segoe UI"/>
          <w:spacing w:val="1"/>
          <w:sz w:val="26"/>
        </w:rPr>
        <w:t xml:space="preserve"> </w:t>
      </w:r>
      <w:r>
        <w:rPr>
          <w:rFonts w:ascii="Segoe UI"/>
          <w:sz w:val="26"/>
        </w:rPr>
        <w:t>recommendations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of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the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z w:val="26"/>
        </w:rPr>
        <w:t>Advisory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Committee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z w:val="26"/>
        </w:rPr>
        <w:t>on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z w:val="26"/>
        </w:rPr>
        <w:t>Immunization</w:t>
      </w:r>
      <w:r>
        <w:rPr>
          <w:rFonts w:ascii="Segoe UI"/>
          <w:spacing w:val="-6"/>
          <w:sz w:val="26"/>
        </w:rPr>
        <w:t xml:space="preserve"> </w:t>
      </w:r>
      <w:r>
        <w:rPr>
          <w:rFonts w:ascii="Segoe UI"/>
          <w:sz w:val="26"/>
        </w:rPr>
        <w:t>Practices</w:t>
      </w:r>
      <w:r>
        <w:rPr>
          <w:rFonts w:ascii="Segoe UI"/>
          <w:spacing w:val="-68"/>
          <w:sz w:val="26"/>
        </w:rPr>
        <w:t xml:space="preserve"> </w:t>
      </w:r>
      <w:r>
        <w:rPr>
          <w:rFonts w:ascii="Segoe UI"/>
          <w:sz w:val="26"/>
        </w:rPr>
        <w:t>(ACIP).</w:t>
      </w:r>
      <w:r>
        <w:rPr>
          <w:rFonts w:ascii="Segoe UI"/>
          <w:spacing w:val="-2"/>
          <w:sz w:val="26"/>
        </w:rPr>
        <w:t xml:space="preserve"> </w:t>
      </w:r>
      <w:r>
        <w:rPr>
          <w:rFonts w:ascii="Segoe UI"/>
          <w:i/>
          <w:sz w:val="26"/>
        </w:rPr>
        <w:t>MMWR</w:t>
      </w:r>
      <w:r>
        <w:rPr>
          <w:rFonts w:ascii="Segoe UI"/>
          <w:i/>
          <w:spacing w:val="-4"/>
          <w:sz w:val="26"/>
        </w:rPr>
        <w:t xml:space="preserve"> </w:t>
      </w:r>
      <w:proofErr w:type="spellStart"/>
      <w:r>
        <w:rPr>
          <w:rFonts w:ascii="Segoe UI"/>
          <w:i/>
          <w:sz w:val="26"/>
        </w:rPr>
        <w:t>Recomm</w:t>
      </w:r>
      <w:proofErr w:type="spellEnd"/>
      <w:r>
        <w:rPr>
          <w:rFonts w:ascii="Segoe UI"/>
          <w:i/>
          <w:spacing w:val="-1"/>
          <w:sz w:val="26"/>
        </w:rPr>
        <w:t xml:space="preserve"> </w:t>
      </w:r>
      <w:r>
        <w:rPr>
          <w:rFonts w:ascii="Segoe UI"/>
          <w:i/>
          <w:sz w:val="26"/>
        </w:rPr>
        <w:t>Rep.</w:t>
      </w:r>
      <w:r>
        <w:rPr>
          <w:rFonts w:ascii="Segoe UI"/>
          <w:i/>
          <w:spacing w:val="-2"/>
          <w:sz w:val="26"/>
        </w:rPr>
        <w:t xml:space="preserve"> </w:t>
      </w:r>
      <w:r>
        <w:rPr>
          <w:rFonts w:ascii="Segoe UI"/>
          <w:sz w:val="26"/>
        </w:rPr>
        <w:t>2008</w:t>
      </w:r>
      <w:proofErr w:type="gramStart"/>
      <w:r>
        <w:rPr>
          <w:rFonts w:ascii="Segoe UI"/>
          <w:sz w:val="26"/>
        </w:rPr>
        <w:t>;57</w:t>
      </w:r>
      <w:proofErr w:type="gramEnd"/>
      <w:r>
        <w:rPr>
          <w:rFonts w:ascii="Segoe UI"/>
          <w:sz w:val="26"/>
        </w:rPr>
        <w:t>(RR-5):1-30;</w:t>
      </w:r>
      <w:r>
        <w:rPr>
          <w:rFonts w:ascii="Segoe UI"/>
          <w:spacing w:val="-5"/>
          <w:sz w:val="26"/>
        </w:rPr>
        <w:t xml:space="preserve"> </w:t>
      </w:r>
      <w:r>
        <w:rPr>
          <w:rFonts w:ascii="Segoe UI"/>
          <w:sz w:val="26"/>
        </w:rPr>
        <w:t>quiz CE32-34.</w:t>
      </w:r>
    </w:p>
    <w:p w:rsidR="009456F4" w:rsidRDefault="009456F4">
      <w:pPr>
        <w:pStyle w:val="BodyText"/>
        <w:rPr>
          <w:rFonts w:ascii="Segoe UI"/>
          <w:sz w:val="20"/>
        </w:rPr>
      </w:pPr>
    </w:p>
    <w:p w:rsidR="009456F4" w:rsidRDefault="008637B9">
      <w:pPr>
        <w:pStyle w:val="BodyText"/>
        <w:spacing w:before="1"/>
        <w:rPr>
          <w:rFonts w:ascii="Segoe UI"/>
          <w:sz w:val="16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393700</wp:posOffset>
            </wp:positionH>
            <wp:positionV relativeFrom="paragraph">
              <wp:posOffset>160781</wp:posOffset>
            </wp:positionV>
            <wp:extent cx="2513298" cy="2475928"/>
            <wp:effectExtent l="0" t="0" r="0" b="0"/>
            <wp:wrapTopAndBottom/>
            <wp:docPr id="1" name="image1.jpeg" descr="C:\Users\visiting\Desktop\thumbn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3298" cy="2475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56F4" w:rsidRDefault="009456F4">
      <w:pPr>
        <w:pStyle w:val="BodyText"/>
        <w:spacing w:before="11"/>
        <w:rPr>
          <w:rFonts w:ascii="Segoe UI"/>
          <w:sz w:val="43"/>
        </w:rPr>
      </w:pPr>
    </w:p>
    <w:p w:rsidR="009456F4" w:rsidRDefault="008637B9">
      <w:pPr>
        <w:pStyle w:val="Heading1"/>
        <w:spacing w:before="0"/>
        <w:ind w:left="220"/>
      </w:pPr>
      <w:r>
        <w:rPr>
          <w:color w:val="BE5A13"/>
        </w:rPr>
        <w:t>Biography</w:t>
      </w:r>
    </w:p>
    <w:p w:rsidR="009456F4" w:rsidRDefault="009456F4">
      <w:pPr>
        <w:pStyle w:val="BodyText"/>
        <w:spacing w:before="6"/>
        <w:rPr>
          <w:rFonts w:ascii="Arial"/>
          <w:b/>
          <w:sz w:val="33"/>
        </w:rPr>
      </w:pPr>
    </w:p>
    <w:p w:rsidR="009456F4" w:rsidRDefault="008637B9">
      <w:pPr>
        <w:pStyle w:val="BodyText"/>
        <w:spacing w:line="132" w:lineRule="auto"/>
        <w:ind w:left="315" w:right="361"/>
        <w:jc w:val="both"/>
        <w:rPr>
          <w:rFonts w:ascii="Cambria"/>
        </w:rPr>
      </w:pPr>
      <w:r>
        <w:pict>
          <v:rect id="_x0000_s1026" style="position:absolute;left:0;text-align:left;margin-left:41.8pt;margin-top:7.8pt;width:112.8pt;height:7.75pt;z-index:-15772672;mso-position-horizontal-relative:page" stroked="f">
            <w10:wrap anchorx="page"/>
          </v:rect>
        </w:pict>
      </w:r>
      <w:proofErr w:type="spellStart"/>
      <w:r>
        <w:rPr>
          <w:rFonts w:ascii="Cambria"/>
        </w:rPr>
        <w:t>Abdou</w:t>
      </w:r>
      <w:proofErr w:type="spellEnd"/>
      <w:r>
        <w:rPr>
          <w:rFonts w:ascii="Cambria"/>
        </w:rPr>
        <w:t xml:space="preserve"> </w:t>
      </w:r>
      <w:proofErr w:type="spellStart"/>
      <w:r>
        <w:rPr>
          <w:rFonts w:ascii="Cambria"/>
        </w:rPr>
        <w:t>Deyab</w:t>
      </w:r>
      <w:proofErr w:type="spellEnd"/>
      <w:r>
        <w:rPr>
          <w:rFonts w:ascii="Cambria"/>
        </w:rPr>
        <w:t xml:space="preserve"> is belongs to Egypt.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He has his expertise in evaluation and passion in improving the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health and wellbeing. He comes with over 15 years of experience in the practice and research work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 xml:space="preserve">of general pediatrics and pediatric </w:t>
      </w:r>
      <w:proofErr w:type="spellStart"/>
      <w:r>
        <w:rPr>
          <w:rFonts w:ascii="Cambria"/>
        </w:rPr>
        <w:t>haematology</w:t>
      </w:r>
      <w:proofErr w:type="spellEnd"/>
      <w:r>
        <w:rPr>
          <w:rFonts w:ascii="Cambria"/>
        </w:rPr>
        <w:t xml:space="preserve"> oncology in Egypt, Kuwait and Oman. He held the</w:t>
      </w:r>
      <w:r>
        <w:rPr>
          <w:rFonts w:ascii="Cambria"/>
          <w:spacing w:val="1"/>
        </w:rPr>
        <w:t xml:space="preserve"> </w:t>
      </w:r>
      <w:r>
        <w:rPr>
          <w:rFonts w:ascii="Cambria"/>
        </w:rPr>
        <w:t>position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of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specialist pediatrician.</w:t>
      </w:r>
    </w:p>
    <w:p w:rsidR="009456F4" w:rsidRDefault="008637B9">
      <w:pPr>
        <w:spacing w:before="61"/>
        <w:ind w:left="4446" w:right="4497"/>
        <w:jc w:val="center"/>
        <w:rPr>
          <w:rFonts w:ascii="Cambria"/>
          <w:sz w:val="18"/>
        </w:rPr>
      </w:pPr>
      <w:r>
        <w:rPr>
          <w:rFonts w:ascii="Cambria"/>
          <w:sz w:val="18"/>
        </w:rPr>
        <w:t>Email:</w:t>
      </w:r>
      <w:r>
        <w:rPr>
          <w:rFonts w:ascii="Cambria"/>
          <w:spacing w:val="1"/>
          <w:sz w:val="18"/>
        </w:rPr>
        <w:t xml:space="preserve"> </w:t>
      </w:r>
      <w:hyperlink r:id="rId9">
        <w:r>
          <w:rPr>
            <w:rFonts w:ascii="Cambria"/>
            <w:sz w:val="18"/>
          </w:rPr>
          <w:t>asd.pediatric@yahoo.com</w:t>
        </w:r>
      </w:hyperlink>
    </w:p>
    <w:p w:rsidR="009456F4" w:rsidRDefault="009456F4">
      <w:pPr>
        <w:jc w:val="center"/>
        <w:rPr>
          <w:rFonts w:ascii="Cambria"/>
          <w:sz w:val="18"/>
        </w:rPr>
        <w:sectPr w:rsidR="009456F4">
          <w:pgSz w:w="11910" w:h="16840"/>
          <w:pgMar w:top="1600" w:right="460" w:bottom="280" w:left="520" w:header="720" w:footer="720" w:gutter="0"/>
          <w:cols w:space="720"/>
        </w:sectPr>
      </w:pPr>
    </w:p>
    <w:p w:rsidR="009456F4" w:rsidRDefault="009456F4">
      <w:pPr>
        <w:pStyle w:val="BodyText"/>
        <w:rPr>
          <w:rFonts w:ascii="Cambria"/>
          <w:sz w:val="17"/>
        </w:rPr>
      </w:pPr>
    </w:p>
    <w:sectPr w:rsidR="009456F4">
      <w:pgSz w:w="11910" w:h="16840"/>
      <w:pgMar w:top="160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 MT">
    <w:altName w:val="Arial"/>
    <w:charset w:val="01"/>
    <w:family w:val="swiss"/>
    <w:pitch w:val="variable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283C0C"/>
    <w:multiLevelType w:val="hybridMultilevel"/>
    <w:tmpl w:val="CB086CE6"/>
    <w:lvl w:ilvl="0" w:tplc="34286436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E0B89F3A">
      <w:numFmt w:val="bullet"/>
      <w:lvlText w:val="•"/>
      <w:lvlJc w:val="left"/>
      <w:pPr>
        <w:ind w:left="1831" w:hanging="360"/>
      </w:pPr>
      <w:rPr>
        <w:rFonts w:hint="default"/>
        <w:lang w:val="en-US" w:eastAsia="en-US" w:bidi="ar-SA"/>
      </w:rPr>
    </w:lvl>
    <w:lvl w:ilvl="2" w:tplc="0C0C6F1C">
      <w:numFmt w:val="bullet"/>
      <w:lvlText w:val="•"/>
      <w:lvlJc w:val="left"/>
      <w:pPr>
        <w:ind w:left="2842" w:hanging="360"/>
      </w:pPr>
      <w:rPr>
        <w:rFonts w:hint="default"/>
        <w:lang w:val="en-US" w:eastAsia="en-US" w:bidi="ar-SA"/>
      </w:rPr>
    </w:lvl>
    <w:lvl w:ilvl="3" w:tplc="DF3E1038">
      <w:numFmt w:val="bullet"/>
      <w:lvlText w:val="•"/>
      <w:lvlJc w:val="left"/>
      <w:pPr>
        <w:ind w:left="3853" w:hanging="360"/>
      </w:pPr>
      <w:rPr>
        <w:rFonts w:hint="default"/>
        <w:lang w:val="en-US" w:eastAsia="en-US" w:bidi="ar-SA"/>
      </w:rPr>
    </w:lvl>
    <w:lvl w:ilvl="4" w:tplc="7B249E9A">
      <w:numFmt w:val="bullet"/>
      <w:lvlText w:val="•"/>
      <w:lvlJc w:val="left"/>
      <w:pPr>
        <w:ind w:left="4864" w:hanging="360"/>
      </w:pPr>
      <w:rPr>
        <w:rFonts w:hint="default"/>
        <w:lang w:val="en-US" w:eastAsia="en-US" w:bidi="ar-SA"/>
      </w:rPr>
    </w:lvl>
    <w:lvl w:ilvl="5" w:tplc="10D6611C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6" w:tplc="0D827E30">
      <w:numFmt w:val="bullet"/>
      <w:lvlText w:val="•"/>
      <w:lvlJc w:val="left"/>
      <w:pPr>
        <w:ind w:left="6886" w:hanging="360"/>
      </w:pPr>
      <w:rPr>
        <w:rFonts w:hint="default"/>
        <w:lang w:val="en-US" w:eastAsia="en-US" w:bidi="ar-SA"/>
      </w:rPr>
    </w:lvl>
    <w:lvl w:ilvl="7" w:tplc="9BBE39DC">
      <w:numFmt w:val="bullet"/>
      <w:lvlText w:val="•"/>
      <w:lvlJc w:val="left"/>
      <w:pPr>
        <w:ind w:left="7897" w:hanging="360"/>
      </w:pPr>
      <w:rPr>
        <w:rFonts w:hint="default"/>
        <w:lang w:val="en-US" w:eastAsia="en-US" w:bidi="ar-SA"/>
      </w:rPr>
    </w:lvl>
    <w:lvl w:ilvl="8" w:tplc="134A55E2">
      <w:numFmt w:val="bullet"/>
      <w:lvlText w:val="•"/>
      <w:lvlJc w:val="left"/>
      <w:pPr>
        <w:ind w:left="8908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456F4"/>
    <w:rsid w:val="008637B9"/>
    <w:rsid w:val="0094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 Math" w:eastAsia="Cambria Math" w:hAnsi="Cambria Math" w:cs="Cambria Math"/>
    </w:rPr>
  </w:style>
  <w:style w:type="paragraph" w:styleId="Heading1">
    <w:name w:val="heading 1"/>
    <w:basedOn w:val="Normal"/>
    <w:uiPriority w:val="1"/>
    <w:qFormat/>
    <w:pPr>
      <w:spacing w:before="91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35"/>
      <w:ind w:left="100"/>
    </w:pPr>
    <w:rPr>
      <w:sz w:val="38"/>
      <w:szCs w:val="38"/>
    </w:rPr>
  </w:style>
  <w:style w:type="paragraph" w:styleId="ListParagraph">
    <w:name w:val="List Paragraph"/>
    <w:basedOn w:val="Normal"/>
    <w:uiPriority w:val="1"/>
    <w:qFormat/>
    <w:pPr>
      <w:ind w:left="820" w:right="648" w:hanging="360"/>
    </w:pPr>
    <w:rPr>
      <w:rFonts w:ascii="Ebrima" w:eastAsia="Ebrima" w:hAnsi="Ebrima" w:cs="Ebrima"/>
    </w:r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 Math" w:eastAsia="Cambria Math" w:hAnsi="Cambria Math" w:cs="Cambria Math"/>
    </w:rPr>
  </w:style>
  <w:style w:type="paragraph" w:styleId="Heading1">
    <w:name w:val="heading 1"/>
    <w:basedOn w:val="Normal"/>
    <w:uiPriority w:val="1"/>
    <w:qFormat/>
    <w:pPr>
      <w:spacing w:before="91"/>
      <w:ind w:left="100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35"/>
      <w:ind w:left="100"/>
    </w:pPr>
    <w:rPr>
      <w:sz w:val="38"/>
      <w:szCs w:val="38"/>
    </w:rPr>
  </w:style>
  <w:style w:type="paragraph" w:styleId="ListParagraph">
    <w:name w:val="List Paragraph"/>
    <w:basedOn w:val="Normal"/>
    <w:uiPriority w:val="1"/>
    <w:qFormat/>
    <w:pPr>
      <w:ind w:left="820" w:right="648" w:hanging="360"/>
    </w:pPr>
    <w:rPr>
      <w:rFonts w:ascii="Ebrima" w:eastAsia="Ebrima" w:hAnsi="Ebrima" w:cs="Ebrim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hyperlink" Target="https://www.cdc.gov/vaccines/hcp/acip-recs/general-recs/timing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dc.gov/vaccines/hcp/acip-recs/general-recs/timing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d.pediatric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Brainstimulation 2021</cp:lastModifiedBy>
  <cp:revision>2</cp:revision>
  <dcterms:created xsi:type="dcterms:W3CDTF">2023-03-06T05:56:00Z</dcterms:created>
  <dcterms:modified xsi:type="dcterms:W3CDTF">2023-03-06T05:56:00Z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2023-03-06T00:00:00Z</vt:filetime>
  </property>
</Properties>
</file>