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91E4D" w14:textId="5DC98EC3" w:rsidR="0097616C" w:rsidRPr="0097616C" w:rsidRDefault="00A9710C" w:rsidP="0097616C">
      <w:pPr>
        <w:spacing w:line="360" w:lineRule="auto"/>
        <w:jc w:val="both"/>
        <w:rPr>
          <w:b/>
          <w:bCs/>
          <w:color w:val="337AB7"/>
          <w:sz w:val="36"/>
          <w:szCs w:val="36"/>
        </w:rPr>
      </w:pPr>
      <w:r w:rsidRPr="0097616C">
        <w:rPr>
          <w:b/>
          <w:bCs/>
          <w:color w:val="337AB7"/>
          <w:sz w:val="36"/>
          <w:szCs w:val="36"/>
        </w:rPr>
        <w:t xml:space="preserve"> </w:t>
      </w:r>
      <w:r w:rsidR="0097616C" w:rsidRPr="0097616C">
        <w:rPr>
          <w:b/>
          <w:bCs/>
          <w:color w:val="337AB7"/>
          <w:sz w:val="36"/>
          <w:szCs w:val="36"/>
        </w:rPr>
        <w:t xml:space="preserve">Neuroprotective activity of Aristoteline, an alkaloid isolated from </w:t>
      </w:r>
      <w:r w:rsidR="0097616C" w:rsidRPr="0097616C">
        <w:rPr>
          <w:b/>
          <w:bCs/>
          <w:i/>
          <w:iCs/>
          <w:color w:val="337AB7"/>
          <w:sz w:val="36"/>
          <w:szCs w:val="36"/>
        </w:rPr>
        <w:t>Aristotelia chilensis.</w:t>
      </w:r>
    </w:p>
    <w:p w14:paraId="3C09757C" w14:textId="657C28D7" w:rsidR="00AE3E37" w:rsidRPr="0097616C" w:rsidRDefault="00AE3E37" w:rsidP="000534A1">
      <w:pPr>
        <w:pStyle w:val="Ttulo1"/>
        <w:spacing w:before="170"/>
        <w:ind w:left="0"/>
        <w:jc w:val="both"/>
        <w:rPr>
          <w:rFonts w:ascii="Tw Cen MT" w:eastAsia="Tw Cen MT" w:hAnsi="Tw Cen MT" w:cs="Tw Cen MT"/>
          <w:b w:val="0"/>
          <w:bCs w:val="0"/>
          <w:color w:val="337AB7"/>
          <w:sz w:val="22"/>
          <w:szCs w:val="22"/>
        </w:rPr>
      </w:pPr>
    </w:p>
    <w:p w14:paraId="06340D3C" w14:textId="71CC6E20" w:rsidR="0097616C" w:rsidRPr="0097616C" w:rsidRDefault="0097616C" w:rsidP="0097616C">
      <w:pPr>
        <w:spacing w:line="360" w:lineRule="auto"/>
        <w:jc w:val="both"/>
        <w:rPr>
          <w:rFonts w:ascii="Arial" w:hAnsi="Arial" w:cs="Arial"/>
          <w:sz w:val="18"/>
          <w:szCs w:val="18"/>
        </w:rPr>
      </w:pPr>
      <w:r w:rsidRPr="0097616C">
        <w:rPr>
          <w:rFonts w:ascii="Arial" w:hAnsi="Arial" w:cs="Arial"/>
          <w:sz w:val="18"/>
          <w:szCs w:val="18"/>
        </w:rPr>
        <w:t>Rebeca Pérez</w:t>
      </w:r>
      <w:r w:rsidRPr="0097616C">
        <w:rPr>
          <w:rFonts w:ascii="Arial" w:hAnsi="Arial" w:cs="Arial"/>
          <w:sz w:val="18"/>
          <w:szCs w:val="18"/>
          <w:vertAlign w:val="superscript"/>
        </w:rPr>
        <w:t>1</w:t>
      </w:r>
      <w:r w:rsidRPr="0097616C">
        <w:rPr>
          <w:rFonts w:ascii="Arial" w:hAnsi="Arial" w:cs="Arial"/>
          <w:sz w:val="18"/>
          <w:szCs w:val="18"/>
        </w:rPr>
        <w:t>, Luciano Saucedo-Antilen</w:t>
      </w:r>
      <w:r w:rsidRPr="0097616C">
        <w:rPr>
          <w:rFonts w:ascii="Arial" w:hAnsi="Arial" w:cs="Arial"/>
          <w:sz w:val="18"/>
          <w:szCs w:val="18"/>
          <w:vertAlign w:val="superscript"/>
        </w:rPr>
        <w:t>1</w:t>
      </w:r>
      <w:r w:rsidRPr="0097616C">
        <w:rPr>
          <w:rFonts w:ascii="Arial" w:hAnsi="Arial" w:cs="Arial"/>
          <w:sz w:val="18"/>
          <w:szCs w:val="18"/>
        </w:rPr>
        <w:t>, Iván González-Chavarría</w:t>
      </w:r>
      <w:r w:rsidRPr="0097616C">
        <w:rPr>
          <w:rFonts w:ascii="Arial" w:hAnsi="Arial" w:cs="Arial"/>
          <w:sz w:val="18"/>
          <w:szCs w:val="18"/>
          <w:vertAlign w:val="superscript"/>
        </w:rPr>
        <w:t>2</w:t>
      </w:r>
      <w:r w:rsidRPr="0097616C">
        <w:rPr>
          <w:rFonts w:ascii="Arial" w:hAnsi="Arial" w:cs="Arial"/>
          <w:sz w:val="18"/>
          <w:szCs w:val="18"/>
        </w:rPr>
        <w:t>, Felix Duprat</w:t>
      </w:r>
      <w:r w:rsidRPr="0097616C">
        <w:rPr>
          <w:rFonts w:ascii="Arial" w:hAnsi="Arial" w:cs="Arial"/>
          <w:sz w:val="18"/>
          <w:szCs w:val="18"/>
          <w:vertAlign w:val="superscript"/>
        </w:rPr>
        <w:t>2</w:t>
      </w:r>
      <w:r w:rsidRPr="0097616C">
        <w:rPr>
          <w:rFonts w:ascii="Arial" w:hAnsi="Arial" w:cs="Arial"/>
          <w:sz w:val="18"/>
          <w:szCs w:val="18"/>
        </w:rPr>
        <w:t>, Cristian Paz</w:t>
      </w:r>
      <w:r w:rsidRPr="0097616C">
        <w:rPr>
          <w:rFonts w:ascii="Arial" w:hAnsi="Arial" w:cs="Arial"/>
          <w:sz w:val="18"/>
          <w:szCs w:val="18"/>
          <w:vertAlign w:val="superscript"/>
        </w:rPr>
        <w:t>1*</w:t>
      </w:r>
      <w:r w:rsidRPr="0097616C">
        <w:rPr>
          <w:rFonts w:ascii="Arial" w:hAnsi="Arial" w:cs="Arial"/>
          <w:sz w:val="18"/>
          <w:szCs w:val="18"/>
        </w:rPr>
        <w:t xml:space="preserve"> </w:t>
      </w:r>
    </w:p>
    <w:p w14:paraId="15EC7404" w14:textId="0700934C" w:rsidR="0097616C" w:rsidRPr="0097616C" w:rsidRDefault="0097616C" w:rsidP="0097616C">
      <w:pPr>
        <w:spacing w:line="360" w:lineRule="auto"/>
        <w:jc w:val="both"/>
        <w:rPr>
          <w:rFonts w:ascii="Arial" w:hAnsi="Arial" w:cs="Arial"/>
          <w:sz w:val="18"/>
          <w:szCs w:val="18"/>
        </w:rPr>
      </w:pPr>
      <w:r w:rsidRPr="0097616C">
        <w:rPr>
          <w:rFonts w:ascii="Arial" w:hAnsi="Arial" w:cs="Arial"/>
          <w:sz w:val="18"/>
          <w:szCs w:val="18"/>
        </w:rPr>
        <w:t xml:space="preserve">1 Laboratory of Natural Products &amp; Drug Discovery, Department of Basic Sciences, Center CEBIM, Universidad de La Frontera, Temuco, Chile </w:t>
      </w:r>
    </w:p>
    <w:p w14:paraId="2B2B804A" w14:textId="397D30BC" w:rsidR="0097616C" w:rsidRPr="0097616C" w:rsidRDefault="0097616C" w:rsidP="0097616C">
      <w:pPr>
        <w:spacing w:line="360" w:lineRule="auto"/>
        <w:jc w:val="both"/>
        <w:rPr>
          <w:rFonts w:ascii="Arial" w:hAnsi="Arial" w:cs="Arial"/>
          <w:color w:val="404040"/>
          <w:sz w:val="18"/>
          <w:szCs w:val="18"/>
        </w:rPr>
      </w:pPr>
      <w:r w:rsidRPr="0097616C">
        <w:rPr>
          <w:rFonts w:ascii="Arial" w:hAnsi="Arial" w:cs="Arial"/>
          <w:sz w:val="18"/>
          <w:szCs w:val="18"/>
        </w:rPr>
        <w:t>2 Department of Physiopathology, Faculty of Biological Sciences, Universidad de Concepción, Concepción, Chile.</w:t>
      </w:r>
    </w:p>
    <w:p w14:paraId="51ECF91A" w14:textId="21C3C9E8" w:rsidR="005973B9" w:rsidRDefault="005973B9" w:rsidP="005973B9">
      <w:pPr>
        <w:pStyle w:val="Textoindependiente"/>
        <w:spacing w:before="73" w:line="198" w:lineRule="exact"/>
        <w:ind w:left="100" w:right="5987"/>
        <w:rPr>
          <w:rFonts w:ascii="Arial"/>
        </w:rPr>
      </w:pPr>
    </w:p>
    <w:p w14:paraId="0B1D393C" w14:textId="2B1344A7" w:rsidR="00AE3E37" w:rsidRDefault="00AE3E37">
      <w:pPr>
        <w:pStyle w:val="Textoindependiente"/>
        <w:rPr>
          <w:rFonts w:ascii="Arial"/>
          <w:sz w:val="20"/>
        </w:rPr>
      </w:pPr>
    </w:p>
    <w:p w14:paraId="7B295DA7"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7CFACBF8" w14:textId="77777777" w:rsidR="00AE3E37" w:rsidRDefault="00A9710C">
      <w:pPr>
        <w:pStyle w:val="Ttulo3"/>
        <w:spacing w:before="147"/>
        <w:jc w:val="both"/>
      </w:pPr>
      <w:r>
        <w:rPr>
          <w:color w:val="BF5A14"/>
        </w:rPr>
        <w:t>Abstract</w:t>
      </w:r>
      <w:r w:rsidR="00404E5B">
        <w:rPr>
          <w:color w:val="BF5A14"/>
        </w:rPr>
        <w:t xml:space="preserve"> (300 word limit)</w:t>
      </w:r>
    </w:p>
    <w:p w14:paraId="0EAE3320" w14:textId="77777777" w:rsidR="0097616C" w:rsidRPr="0097616C" w:rsidRDefault="0097616C" w:rsidP="0097616C">
      <w:pPr>
        <w:jc w:val="both"/>
        <w:rPr>
          <w:sz w:val="18"/>
          <w:szCs w:val="18"/>
        </w:rPr>
      </w:pPr>
      <w:r w:rsidRPr="0097616C">
        <w:rPr>
          <w:b/>
          <w:bCs/>
          <w:sz w:val="18"/>
          <w:szCs w:val="18"/>
        </w:rPr>
        <w:t>Introduction:</w:t>
      </w:r>
      <w:r w:rsidRPr="0097616C">
        <w:rPr>
          <w:sz w:val="18"/>
          <w:szCs w:val="18"/>
        </w:rPr>
        <w:t xml:space="preserve"> In Chile, currently 180,000 people suffer from some neurodegenerative disease and it is estimated that in 2050, 626,000 people will have Alzheimer's or another dementia. Neurodegenerative diseases show a decreased cerebral blood flow (FSC), causing a lack of oxygenation of tissues, increasing oxidative stress, which contributes to the progression of neuropathologies by the generation of highly reactive molecules that produce mitochondrial and DNA damage. </w:t>
      </w:r>
      <w:r w:rsidRPr="0097616C">
        <w:rPr>
          <w:i/>
          <w:iCs/>
          <w:sz w:val="18"/>
          <w:szCs w:val="18"/>
        </w:rPr>
        <w:t>Aristotelia chilensis</w:t>
      </w:r>
      <w:r w:rsidRPr="0097616C">
        <w:rPr>
          <w:sz w:val="18"/>
          <w:szCs w:val="18"/>
        </w:rPr>
        <w:t xml:space="preserve"> is a native chilean tree widely used in folk medicine. Its leaves produce non-iridoid monoterpene indole alkaloids, among them aristoteline showed different pharmacological properties suggesting neuroprotective effects. </w:t>
      </w:r>
    </w:p>
    <w:p w14:paraId="4BEBFA1D" w14:textId="77777777" w:rsidR="0097616C" w:rsidRPr="0097616C" w:rsidRDefault="0097616C" w:rsidP="0097616C">
      <w:pPr>
        <w:jc w:val="both"/>
        <w:rPr>
          <w:sz w:val="18"/>
          <w:szCs w:val="18"/>
        </w:rPr>
      </w:pPr>
      <w:r w:rsidRPr="0097616C">
        <w:rPr>
          <w:b/>
          <w:bCs/>
          <w:sz w:val="18"/>
          <w:szCs w:val="18"/>
        </w:rPr>
        <w:t>Objective:</w:t>
      </w:r>
      <w:r w:rsidRPr="0097616C">
        <w:rPr>
          <w:sz w:val="18"/>
          <w:szCs w:val="18"/>
        </w:rPr>
        <w:t xml:space="preserve"> To determine the neuroprotective activity of aristoteline, evaluating the vasodilator effect in rat aortic rings and the protective activity against proinflammatory stimuli of hydrogen peroxide (H</w:t>
      </w:r>
      <w:r w:rsidRPr="0097616C">
        <w:rPr>
          <w:sz w:val="18"/>
          <w:szCs w:val="18"/>
          <w:vertAlign w:val="subscript"/>
        </w:rPr>
        <w:t>2</w:t>
      </w:r>
      <w:r w:rsidRPr="0097616C">
        <w:rPr>
          <w:sz w:val="18"/>
          <w:szCs w:val="18"/>
        </w:rPr>
        <w:t>O</w:t>
      </w:r>
      <w:r w:rsidRPr="0097616C">
        <w:rPr>
          <w:sz w:val="18"/>
          <w:szCs w:val="18"/>
          <w:vertAlign w:val="subscript"/>
        </w:rPr>
        <w:t>2</w:t>
      </w:r>
      <w:r w:rsidRPr="0097616C">
        <w:rPr>
          <w:sz w:val="18"/>
          <w:szCs w:val="18"/>
        </w:rPr>
        <w:t xml:space="preserve">) in human neuroblastoma SH-SY5Y cells. </w:t>
      </w:r>
      <w:r w:rsidRPr="0097616C">
        <w:rPr>
          <w:b/>
          <w:bCs/>
          <w:sz w:val="18"/>
          <w:szCs w:val="18"/>
        </w:rPr>
        <w:t>Methodology:</w:t>
      </w:r>
      <w:r w:rsidRPr="0097616C">
        <w:rPr>
          <w:sz w:val="18"/>
          <w:szCs w:val="18"/>
        </w:rPr>
        <w:t xml:space="preserve"> Aristoteline was purified from </w:t>
      </w:r>
      <w:r w:rsidRPr="0097616C">
        <w:rPr>
          <w:i/>
          <w:iCs/>
          <w:sz w:val="18"/>
          <w:szCs w:val="18"/>
        </w:rPr>
        <w:t>Aristotelia chilensis</w:t>
      </w:r>
      <w:r w:rsidRPr="0097616C">
        <w:rPr>
          <w:sz w:val="18"/>
          <w:szCs w:val="18"/>
        </w:rPr>
        <w:t xml:space="preserve"> leaves and chemically characterized by NMR spectroscopy. The vasodilator effect was evaluated by studying vascular reactivity in rat aortic rings. The effect of aristoteline on the contractile response of phenylephrine was studied by preincubating the rings with aristoteline 10</w:t>
      </w:r>
      <w:r w:rsidRPr="0097616C">
        <w:rPr>
          <w:sz w:val="18"/>
          <w:szCs w:val="18"/>
          <w:vertAlign w:val="superscript"/>
        </w:rPr>
        <w:t>-5</w:t>
      </w:r>
      <w:r w:rsidRPr="0097616C">
        <w:rPr>
          <w:sz w:val="18"/>
          <w:szCs w:val="18"/>
        </w:rPr>
        <w:t xml:space="preserve"> M. In the evaluation of cell protection against H</w:t>
      </w:r>
      <w:r w:rsidRPr="0097616C">
        <w:rPr>
          <w:sz w:val="18"/>
          <w:szCs w:val="18"/>
          <w:vertAlign w:val="subscript"/>
        </w:rPr>
        <w:t>2</w:t>
      </w:r>
      <w:r w:rsidRPr="0097616C">
        <w:rPr>
          <w:sz w:val="18"/>
          <w:szCs w:val="18"/>
        </w:rPr>
        <w:t>O</w:t>
      </w:r>
      <w:r w:rsidRPr="0097616C">
        <w:rPr>
          <w:sz w:val="18"/>
          <w:szCs w:val="18"/>
          <w:vertAlign w:val="subscript"/>
        </w:rPr>
        <w:t>2</w:t>
      </w:r>
      <w:r w:rsidRPr="0097616C">
        <w:rPr>
          <w:sz w:val="18"/>
          <w:szCs w:val="18"/>
        </w:rPr>
        <w:t>, differentiated SH-SY5Y cells were seeded and cultured for 12 h. The cells were then cultured in serum-free DMEM and pretreated with aristoteline and H</w:t>
      </w:r>
      <w:r w:rsidRPr="0097616C">
        <w:rPr>
          <w:sz w:val="18"/>
          <w:szCs w:val="18"/>
          <w:vertAlign w:val="subscript"/>
        </w:rPr>
        <w:t>2</w:t>
      </w:r>
      <w:r w:rsidRPr="0097616C">
        <w:rPr>
          <w:sz w:val="18"/>
          <w:szCs w:val="18"/>
        </w:rPr>
        <w:t>O</w:t>
      </w:r>
      <w:r w:rsidRPr="0097616C">
        <w:rPr>
          <w:sz w:val="18"/>
          <w:szCs w:val="18"/>
          <w:vertAlign w:val="subscript"/>
        </w:rPr>
        <w:t>2</w:t>
      </w:r>
      <w:r w:rsidRPr="0097616C">
        <w:rPr>
          <w:sz w:val="18"/>
          <w:szCs w:val="18"/>
        </w:rPr>
        <w:t xml:space="preserve"> (300 </w:t>
      </w:r>
      <w:r w:rsidRPr="0097616C">
        <w:rPr>
          <w:rFonts w:cs="Arial"/>
          <w:sz w:val="18"/>
          <w:szCs w:val="18"/>
        </w:rPr>
        <w:t>µ</w:t>
      </w:r>
      <w:r w:rsidRPr="0097616C">
        <w:rPr>
          <w:sz w:val="18"/>
          <w:szCs w:val="18"/>
        </w:rPr>
        <w:t xml:space="preserve">M) for 24 h. Cell viability was determined by MTS assay. </w:t>
      </w:r>
      <w:r w:rsidRPr="0097616C">
        <w:rPr>
          <w:b/>
          <w:bCs/>
          <w:sz w:val="18"/>
          <w:szCs w:val="18"/>
        </w:rPr>
        <w:t>Results:</w:t>
      </w:r>
      <w:r w:rsidRPr="0097616C">
        <w:rPr>
          <w:sz w:val="18"/>
          <w:szCs w:val="18"/>
        </w:rPr>
        <w:t xml:space="preserve"> Aristoteline produces relaxation in rat aortic rings with intact, denuded or L-NAME preincubated rings with IC</w:t>
      </w:r>
      <w:r w:rsidRPr="0097616C">
        <w:rPr>
          <w:sz w:val="18"/>
          <w:szCs w:val="18"/>
          <w:vertAlign w:val="subscript"/>
        </w:rPr>
        <w:t>50</w:t>
      </w:r>
      <w:r w:rsidRPr="0097616C">
        <w:rPr>
          <w:sz w:val="18"/>
          <w:szCs w:val="18"/>
        </w:rPr>
        <w:t xml:space="preserve"> 4.9x10</w:t>
      </w:r>
      <w:r w:rsidRPr="0097616C">
        <w:rPr>
          <w:sz w:val="18"/>
          <w:szCs w:val="18"/>
          <w:vertAlign w:val="superscript"/>
        </w:rPr>
        <w:t xml:space="preserve">-5 </w:t>
      </w:r>
      <w:r w:rsidRPr="0097616C">
        <w:rPr>
          <w:sz w:val="18"/>
          <w:szCs w:val="18"/>
        </w:rPr>
        <w:t>M; 1.1x10</w:t>
      </w:r>
      <w:r w:rsidRPr="0097616C">
        <w:rPr>
          <w:sz w:val="18"/>
          <w:szCs w:val="18"/>
          <w:vertAlign w:val="superscript"/>
        </w:rPr>
        <w:t xml:space="preserve">-4 </w:t>
      </w:r>
      <w:r w:rsidRPr="0097616C">
        <w:rPr>
          <w:sz w:val="18"/>
          <w:szCs w:val="18"/>
        </w:rPr>
        <w:t>M and 5.8x10</w:t>
      </w:r>
      <w:r w:rsidRPr="0097616C">
        <w:rPr>
          <w:sz w:val="18"/>
          <w:szCs w:val="18"/>
          <w:vertAlign w:val="superscript"/>
        </w:rPr>
        <w:t xml:space="preserve">-5 </w:t>
      </w:r>
      <w:r w:rsidRPr="0097616C">
        <w:rPr>
          <w:sz w:val="18"/>
          <w:szCs w:val="18"/>
        </w:rPr>
        <w:t>M, respectively. Moreover aristoteline restore the cell viability induced by H</w:t>
      </w:r>
      <w:r w:rsidRPr="0097616C">
        <w:rPr>
          <w:sz w:val="18"/>
          <w:szCs w:val="18"/>
          <w:vertAlign w:val="subscript"/>
        </w:rPr>
        <w:t>2</w:t>
      </w:r>
      <w:r w:rsidRPr="0097616C">
        <w:rPr>
          <w:sz w:val="18"/>
          <w:szCs w:val="18"/>
        </w:rPr>
        <w:t>O</w:t>
      </w:r>
      <w:r w:rsidRPr="0097616C">
        <w:rPr>
          <w:sz w:val="18"/>
          <w:szCs w:val="18"/>
          <w:vertAlign w:val="subscript"/>
        </w:rPr>
        <w:t>2</w:t>
      </w:r>
      <w:r w:rsidRPr="0097616C">
        <w:rPr>
          <w:sz w:val="18"/>
          <w:szCs w:val="18"/>
        </w:rPr>
        <w:t xml:space="preserve"> at 50 </w:t>
      </w:r>
      <w:r w:rsidRPr="0097616C">
        <w:rPr>
          <w:rFonts w:cs="Arial"/>
          <w:sz w:val="18"/>
          <w:szCs w:val="18"/>
        </w:rPr>
        <w:t>µ</w:t>
      </w:r>
      <w:r w:rsidRPr="0097616C">
        <w:rPr>
          <w:sz w:val="18"/>
          <w:szCs w:val="18"/>
        </w:rPr>
        <w:t xml:space="preserve">M. </w:t>
      </w:r>
      <w:r w:rsidRPr="0097616C">
        <w:rPr>
          <w:b/>
          <w:bCs/>
          <w:sz w:val="18"/>
          <w:szCs w:val="18"/>
        </w:rPr>
        <w:t>Conclusions:</w:t>
      </w:r>
      <w:r w:rsidRPr="0097616C">
        <w:rPr>
          <w:sz w:val="18"/>
          <w:szCs w:val="18"/>
        </w:rPr>
        <w:t xml:space="preserve"> Aristoteline shows vasodilator effects, suggesting that could increase the FSC, moreover aristoteline reduce the cytotoxicity induced by oxidative stress with H</w:t>
      </w:r>
      <w:r w:rsidRPr="0097616C">
        <w:rPr>
          <w:sz w:val="18"/>
          <w:szCs w:val="18"/>
          <w:vertAlign w:val="subscript"/>
        </w:rPr>
        <w:t>2</w:t>
      </w:r>
      <w:r w:rsidRPr="0097616C">
        <w:rPr>
          <w:sz w:val="18"/>
          <w:szCs w:val="18"/>
        </w:rPr>
        <w:t>O</w:t>
      </w:r>
      <w:r w:rsidRPr="0097616C">
        <w:rPr>
          <w:sz w:val="18"/>
          <w:szCs w:val="18"/>
          <w:vertAlign w:val="subscript"/>
        </w:rPr>
        <w:t>2</w:t>
      </w:r>
      <w:r w:rsidRPr="0097616C">
        <w:rPr>
          <w:sz w:val="18"/>
          <w:szCs w:val="18"/>
        </w:rPr>
        <w:t xml:space="preserve"> in a neuronal cell model. </w:t>
      </w:r>
      <w:r w:rsidRPr="0097616C">
        <w:rPr>
          <w:b/>
          <w:bCs/>
          <w:sz w:val="18"/>
          <w:szCs w:val="18"/>
        </w:rPr>
        <w:t>Acknowledgments:</w:t>
      </w:r>
      <w:r w:rsidRPr="0097616C">
        <w:rPr>
          <w:sz w:val="18"/>
          <w:szCs w:val="18"/>
        </w:rPr>
        <w:t xml:space="preserve"> Conicyt- Fapesp Project 201808426-0 and Doctoral Scholarship N</w:t>
      </w:r>
      <w:r w:rsidRPr="0097616C">
        <w:rPr>
          <w:sz w:val="18"/>
          <w:szCs w:val="18"/>
          <w:vertAlign w:val="superscript"/>
        </w:rPr>
        <w:t xml:space="preserve">o   </w:t>
      </w:r>
      <w:r w:rsidRPr="0097616C">
        <w:rPr>
          <w:sz w:val="18"/>
          <w:szCs w:val="18"/>
        </w:rPr>
        <w:t>21220534 of ANID-Chile.</w:t>
      </w:r>
    </w:p>
    <w:p w14:paraId="2E4FC399" w14:textId="77777777" w:rsidR="00AE3E37" w:rsidRDefault="00A9710C">
      <w:pPr>
        <w:pStyle w:val="Ttulo3"/>
        <w:spacing w:before="74"/>
      </w:pPr>
      <w:r>
        <w:rPr>
          <w:b w:val="0"/>
        </w:rPr>
        <w:br w:type="column"/>
      </w:r>
      <w:r>
        <w:rPr>
          <w:color w:val="BF5A14"/>
        </w:rPr>
        <w:t>Image</w:t>
      </w:r>
    </w:p>
    <w:p w14:paraId="450F822C" w14:textId="3C1F79BD" w:rsidR="00AE3E37" w:rsidRDefault="00AF748D">
      <w:pPr>
        <w:pStyle w:val="Textoindependiente"/>
        <w:spacing w:before="2"/>
        <w:rPr>
          <w:rFonts w:ascii="Arial"/>
          <w:b/>
          <w:sz w:val="16"/>
        </w:rPr>
      </w:pPr>
      <w:r w:rsidRPr="00AF748D">
        <w:rPr>
          <w:rFonts w:ascii="Arial"/>
          <w:b/>
          <w:sz w:val="16"/>
        </w:rPr>
        <w:drawing>
          <wp:anchor distT="0" distB="0" distL="114300" distR="114300" simplePos="0" relativeHeight="251656192" behindDoc="0" locked="0" layoutInCell="1" allowOverlap="1" wp14:anchorId="6C3501BF" wp14:editId="0278C47A">
            <wp:simplePos x="0" y="0"/>
            <wp:positionH relativeFrom="column">
              <wp:posOffset>159596</wp:posOffset>
            </wp:positionH>
            <wp:positionV relativeFrom="paragraph">
              <wp:posOffset>30057</wp:posOffset>
            </wp:positionV>
            <wp:extent cx="3165475" cy="987425"/>
            <wp:effectExtent l="0" t="0" r="0" b="3175"/>
            <wp:wrapNone/>
            <wp:docPr id="140" name="Imagen 139">
              <a:extLst xmlns:a="http://schemas.openxmlformats.org/drawingml/2006/main">
                <a:ext uri="{FF2B5EF4-FFF2-40B4-BE49-F238E27FC236}">
                  <a16:creationId xmlns:a16="http://schemas.microsoft.com/office/drawing/2014/main" id="{0C7EF13D-622D-5829-BBF5-97557BB6F4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n 139">
                      <a:extLst>
                        <a:ext uri="{FF2B5EF4-FFF2-40B4-BE49-F238E27FC236}">
                          <a16:creationId xmlns:a16="http://schemas.microsoft.com/office/drawing/2014/main" id="{0C7EF13D-622D-5829-BBF5-97557BB6F47F}"/>
                        </a:ext>
                      </a:extLst>
                    </pic:cNvPr>
                    <pic:cNvPicPr>
                      <a:picLocks noChangeAspect="1"/>
                    </pic:cNvPicPr>
                  </pic:nvPicPr>
                  <pic:blipFill>
                    <a:blip r:embed="rId8"/>
                    <a:stretch>
                      <a:fillRect/>
                    </a:stretch>
                  </pic:blipFill>
                  <pic:spPr>
                    <a:xfrm>
                      <a:off x="0" y="0"/>
                      <a:ext cx="3165475" cy="987425"/>
                    </a:xfrm>
                    <a:prstGeom prst="rect">
                      <a:avLst/>
                    </a:prstGeom>
                  </pic:spPr>
                </pic:pic>
              </a:graphicData>
            </a:graphic>
          </wp:anchor>
        </w:drawing>
      </w:r>
    </w:p>
    <w:p w14:paraId="67FB5CC3" w14:textId="2B06EA86" w:rsidR="00AF748D" w:rsidRDefault="00AF748D">
      <w:pPr>
        <w:pStyle w:val="Textoindependiente"/>
        <w:spacing w:before="2"/>
        <w:rPr>
          <w:rFonts w:ascii="Arial"/>
          <w:b/>
          <w:sz w:val="16"/>
        </w:rPr>
      </w:pPr>
    </w:p>
    <w:p w14:paraId="07772BAB" w14:textId="01D2FD77" w:rsidR="00AF748D" w:rsidRDefault="00AF748D">
      <w:pPr>
        <w:pStyle w:val="Textoindependiente"/>
        <w:spacing w:before="2"/>
        <w:rPr>
          <w:rFonts w:ascii="Arial"/>
          <w:b/>
          <w:sz w:val="16"/>
        </w:rPr>
      </w:pPr>
    </w:p>
    <w:p w14:paraId="16527681" w14:textId="62DA716F" w:rsidR="00AF748D" w:rsidRDefault="00AF748D">
      <w:pPr>
        <w:pStyle w:val="Textoindependiente"/>
        <w:spacing w:before="2"/>
        <w:rPr>
          <w:rFonts w:ascii="Arial"/>
          <w:b/>
          <w:sz w:val="16"/>
        </w:rPr>
      </w:pPr>
    </w:p>
    <w:p w14:paraId="2B2804FE" w14:textId="39546169" w:rsidR="00AF748D" w:rsidRDefault="00AF748D">
      <w:pPr>
        <w:pStyle w:val="Textoindependiente"/>
        <w:spacing w:before="2"/>
        <w:rPr>
          <w:rFonts w:ascii="Arial"/>
          <w:b/>
          <w:sz w:val="16"/>
        </w:rPr>
      </w:pPr>
    </w:p>
    <w:p w14:paraId="7529CA84" w14:textId="63B10C8A" w:rsidR="00AF748D" w:rsidRDefault="00AF748D">
      <w:pPr>
        <w:pStyle w:val="Textoindependiente"/>
        <w:spacing w:before="2"/>
        <w:rPr>
          <w:rFonts w:ascii="Arial"/>
          <w:b/>
          <w:sz w:val="16"/>
        </w:rPr>
      </w:pPr>
    </w:p>
    <w:p w14:paraId="5D5E8329" w14:textId="395ABAB7" w:rsidR="00AF748D" w:rsidRDefault="00AF748D">
      <w:pPr>
        <w:pStyle w:val="Textoindependiente"/>
        <w:spacing w:before="2"/>
        <w:rPr>
          <w:rFonts w:ascii="Arial"/>
          <w:b/>
          <w:sz w:val="16"/>
        </w:rPr>
      </w:pPr>
    </w:p>
    <w:p w14:paraId="1A244BA1" w14:textId="4408423C" w:rsidR="00AF748D" w:rsidRDefault="00AF748D">
      <w:pPr>
        <w:pStyle w:val="Textoindependiente"/>
        <w:spacing w:before="2"/>
        <w:rPr>
          <w:rFonts w:ascii="Arial"/>
          <w:b/>
          <w:sz w:val="16"/>
        </w:rPr>
      </w:pPr>
    </w:p>
    <w:p w14:paraId="37B968C5" w14:textId="0B71628F" w:rsidR="00AF748D" w:rsidRDefault="00AF748D">
      <w:pPr>
        <w:pStyle w:val="Textoindependiente"/>
        <w:spacing w:before="2"/>
        <w:rPr>
          <w:rFonts w:ascii="Arial"/>
          <w:b/>
          <w:sz w:val="16"/>
        </w:rPr>
      </w:pPr>
    </w:p>
    <w:p w14:paraId="7F0F45C7" w14:textId="12C37C6F" w:rsidR="00AF748D" w:rsidRDefault="00AF748D">
      <w:pPr>
        <w:pStyle w:val="Textoindependiente"/>
        <w:spacing w:before="2"/>
        <w:rPr>
          <w:rFonts w:ascii="Arial"/>
          <w:b/>
          <w:sz w:val="16"/>
        </w:rPr>
      </w:pPr>
      <w:r w:rsidRPr="00AF748D">
        <w:rPr>
          <w:rFonts w:ascii="Arial"/>
          <w:b/>
          <w:sz w:val="16"/>
        </w:rPr>
        <mc:AlternateContent>
          <mc:Choice Requires="wps">
            <w:drawing>
              <wp:anchor distT="0" distB="0" distL="114300" distR="114300" simplePos="0" relativeHeight="251661312" behindDoc="0" locked="0" layoutInCell="1" allowOverlap="1" wp14:anchorId="7C344A3D" wp14:editId="701393A0">
                <wp:simplePos x="0" y="0"/>
                <wp:positionH relativeFrom="column">
                  <wp:posOffset>196498</wp:posOffset>
                </wp:positionH>
                <wp:positionV relativeFrom="paragraph">
                  <wp:posOffset>84314</wp:posOffset>
                </wp:positionV>
                <wp:extent cx="3196989" cy="733181"/>
                <wp:effectExtent l="0" t="0" r="0" b="0"/>
                <wp:wrapNone/>
                <wp:docPr id="144" name="Rectángulo 43">
                  <a:extLst xmlns:a="http://schemas.openxmlformats.org/drawingml/2006/main">
                    <a:ext uri="{FF2B5EF4-FFF2-40B4-BE49-F238E27FC236}">
                      <a16:creationId xmlns:a16="http://schemas.microsoft.com/office/drawing/2014/main" id="{0C4AB9F6-BDB7-678E-037F-BC87E8F666DB}"/>
                    </a:ext>
                  </a:extLst>
                </wp:docPr>
                <wp:cNvGraphicFramePr/>
                <a:graphic xmlns:a="http://schemas.openxmlformats.org/drawingml/2006/main">
                  <a:graphicData uri="http://schemas.microsoft.com/office/word/2010/wordprocessingShape">
                    <wps:wsp>
                      <wps:cNvSpPr/>
                      <wps:spPr>
                        <a:xfrm>
                          <a:off x="0" y="0"/>
                          <a:ext cx="3196989" cy="733181"/>
                        </a:xfrm>
                        <a:prstGeom prst="rect">
                          <a:avLst/>
                        </a:prstGeom>
                      </wps:spPr>
                      <wps:txbx>
                        <w:txbxContent>
                          <w:p w14:paraId="46CF3A37" w14:textId="77777777" w:rsidR="00AF748D" w:rsidRDefault="00AF748D" w:rsidP="00AF748D">
                            <w:pPr>
                              <w:jc w:val="both"/>
                              <w:rPr>
                                <w:rFonts w:ascii="Arial" w:hAnsi="Arial" w:cstheme="minorBidi"/>
                                <w:color w:val="000000"/>
                                <w:kern w:val="24"/>
                                <w:sz w:val="14"/>
                                <w:szCs w:val="14"/>
                                <w:lang w:val="es-ES_tradnl"/>
                              </w:rPr>
                            </w:pPr>
                            <w:r>
                              <w:rPr>
                                <w:rFonts w:ascii="Arial" w:hAnsi="Arial" w:cstheme="minorBidi"/>
                                <w:color w:val="000000"/>
                                <w:kern w:val="24"/>
                                <w:sz w:val="14"/>
                                <w:szCs w:val="14"/>
                                <w:lang w:val="es-ES_tradnl"/>
                              </w:rPr>
                              <w:t>Figura 2. Rol del ON, Gluanilato ciclasa y Ciclooxigenasa en relajación de aorta de rata. Curvas concentración respuesta de FE en ausencia o presencia de L-NAME (10-4 M), ODQ (10-6 M) o Indometacina (10-6 M). Los valores están expresados como media ± error estándar de la media de 5 experimentos. Diferencias estadísticas significativas: *p&lt;0.05 y **p&lt;0.01 v/s Control.</w:t>
                            </w:r>
                          </w:p>
                        </w:txbxContent>
                      </wps:txbx>
                      <wps:bodyPr vert="horz" wrap="square" lIns="86010" tIns="43005" rIns="86010" bIns="43005" anchor="ctr" anchorCtr="0">
                        <a:spAutoFit/>
                      </wps:bodyPr>
                    </wps:wsp>
                  </a:graphicData>
                </a:graphic>
              </wp:anchor>
            </w:drawing>
          </mc:Choice>
          <mc:Fallback>
            <w:pict>
              <v:rect w14:anchorId="7C344A3D" id="Rectángulo 43" o:spid="_x0000_s1026" style="position:absolute;margin-left:15.45pt;margin-top:6.65pt;width:251.75pt;height:57.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" filled="f" stroked="f">
                <v:textbox style="mso-fit-shape-to-text:t" inset="2.38917mm,1.1946mm,2.38917mm,1.1946mm">
                  <w:txbxContent>
                    <w:p w14:paraId="46CF3A37" w14:textId="77777777" w:rsidR="00AF748D" w:rsidRDefault="00AF748D" w:rsidP="00AF748D">
                      <w:pPr>
                        <w:jc w:val="both"/>
                        <w:rPr>
                          <w:rFonts w:ascii="Arial" w:hAnsi="Arial" w:cstheme="minorBidi"/>
                          <w:color w:val="000000"/>
                          <w:kern w:val="24"/>
                          <w:sz w:val="14"/>
                          <w:szCs w:val="14"/>
                          <w:lang w:val="es-ES_tradnl"/>
                        </w:rPr>
                      </w:pPr>
                      <w:r>
                        <w:rPr>
                          <w:rFonts w:ascii="Arial" w:hAnsi="Arial" w:cstheme="minorBidi"/>
                          <w:color w:val="000000"/>
                          <w:kern w:val="24"/>
                          <w:sz w:val="14"/>
                          <w:szCs w:val="14"/>
                          <w:lang w:val="es-ES_tradnl"/>
                        </w:rPr>
                        <w:t>Figura 2. Rol del ON, Gluanilato ciclasa y Ciclooxigenasa en relajación de aorta de rata. Curvas concentración respuesta de FE en ausencia o presencia de L-NAME (10-4 M), ODQ (10-6 M) o Indometacina (10-6 M). Los valores están expresados como media ± error estándar de la media de 5 experimentos. Diferencias estadísticas significativas: *p&lt;0.05 y **p&lt;0.01 v/s Control.</w:t>
                      </w:r>
                    </w:p>
                  </w:txbxContent>
                </v:textbox>
              </v:rect>
            </w:pict>
          </mc:Fallback>
        </mc:AlternateContent>
      </w:r>
    </w:p>
    <w:p w14:paraId="55AEF494" w14:textId="5D86F92A" w:rsidR="00AF748D" w:rsidRDefault="00AF748D">
      <w:pPr>
        <w:pStyle w:val="Textoindependiente"/>
        <w:spacing w:before="2"/>
        <w:rPr>
          <w:rFonts w:ascii="Arial"/>
          <w:b/>
          <w:sz w:val="16"/>
        </w:rPr>
      </w:pPr>
    </w:p>
    <w:p w14:paraId="255DD702" w14:textId="116E0A43" w:rsidR="00AF748D" w:rsidRDefault="00AF748D">
      <w:pPr>
        <w:pStyle w:val="Textoindependiente"/>
        <w:spacing w:before="2"/>
        <w:rPr>
          <w:rFonts w:ascii="Arial"/>
          <w:b/>
          <w:sz w:val="16"/>
        </w:rPr>
      </w:pPr>
    </w:p>
    <w:p w14:paraId="69D68AC5" w14:textId="40318E6A" w:rsidR="00AF748D" w:rsidRDefault="00AF748D">
      <w:pPr>
        <w:pStyle w:val="Textoindependiente"/>
        <w:spacing w:before="2"/>
        <w:rPr>
          <w:rFonts w:ascii="Arial"/>
          <w:b/>
          <w:sz w:val="16"/>
        </w:rPr>
      </w:pPr>
    </w:p>
    <w:p w14:paraId="37E95934" w14:textId="0E0FEC05" w:rsidR="00AF748D" w:rsidRDefault="00AF748D">
      <w:pPr>
        <w:pStyle w:val="Textoindependiente"/>
        <w:spacing w:before="2"/>
        <w:rPr>
          <w:rFonts w:ascii="Arial"/>
          <w:b/>
          <w:sz w:val="16"/>
        </w:rPr>
      </w:pPr>
    </w:p>
    <w:p w14:paraId="13DE4446" w14:textId="50EDFDB5" w:rsidR="00AF748D" w:rsidRDefault="00AF748D">
      <w:pPr>
        <w:pStyle w:val="Textoindependiente"/>
        <w:spacing w:before="2"/>
        <w:rPr>
          <w:rFonts w:ascii="Arial"/>
          <w:b/>
          <w:sz w:val="16"/>
        </w:rPr>
      </w:pPr>
    </w:p>
    <w:p w14:paraId="552ADF25" w14:textId="68BF78D6" w:rsidR="00AF748D" w:rsidRDefault="00AF748D">
      <w:pPr>
        <w:pStyle w:val="Textoindependiente"/>
        <w:spacing w:before="2"/>
        <w:rPr>
          <w:rFonts w:ascii="Arial"/>
          <w:b/>
          <w:sz w:val="16"/>
        </w:rPr>
      </w:pPr>
    </w:p>
    <w:p w14:paraId="148BA740" w14:textId="77777777" w:rsidR="00AF748D" w:rsidRDefault="00AF748D">
      <w:pPr>
        <w:pStyle w:val="Textoindependiente"/>
        <w:spacing w:before="2"/>
        <w:rPr>
          <w:rFonts w:ascii="Arial"/>
          <w:b/>
          <w:sz w:val="16"/>
        </w:rPr>
      </w:pPr>
    </w:p>
    <w:p w14:paraId="7F01B7A9" w14:textId="439498B4" w:rsidR="005973B9" w:rsidRDefault="005973B9" w:rsidP="005973B9">
      <w:pPr>
        <w:spacing w:line="204" w:lineRule="exact"/>
        <w:rPr>
          <w:rFonts w:ascii="Arial"/>
          <w:b/>
          <w:sz w:val="20"/>
        </w:rPr>
      </w:pPr>
      <w:r>
        <w:rPr>
          <w:rFonts w:ascii="Arial"/>
          <w:b/>
          <w:color w:val="BF5A14"/>
          <w:sz w:val="20"/>
        </w:rPr>
        <w:br/>
        <w:t>Recent Publications (minimum 5)</w:t>
      </w:r>
    </w:p>
    <w:p w14:paraId="1E896F99" w14:textId="6A8A2039" w:rsidR="00AF748D" w:rsidRDefault="00AF748D" w:rsidP="008756E6">
      <w:pPr>
        <w:tabs>
          <w:tab w:val="left" w:pos="384"/>
        </w:tabs>
        <w:ind w:right="117"/>
        <w:rPr>
          <w:rFonts w:asciiTheme="minorHAnsi" w:hAnsiTheme="minorHAnsi" w:cstheme="minorHAnsi"/>
          <w:sz w:val="18"/>
          <w:szCs w:val="18"/>
        </w:rPr>
      </w:pPr>
      <w:r w:rsidRPr="00A70C7B">
        <w:rPr>
          <w:rFonts w:asciiTheme="minorHAnsi" w:hAnsiTheme="minorHAnsi" w:cstheme="minorHAnsi"/>
          <w:b/>
          <w:bCs/>
          <w:sz w:val="18"/>
          <w:szCs w:val="18"/>
        </w:rPr>
        <w:t>5.</w:t>
      </w:r>
      <w:r w:rsidRPr="00AF748D">
        <w:rPr>
          <w:rFonts w:asciiTheme="minorHAnsi" w:hAnsiTheme="minorHAnsi" w:cstheme="minorHAnsi"/>
          <w:sz w:val="18"/>
          <w:szCs w:val="18"/>
        </w:rPr>
        <w:t xml:space="preserve"> Rebeca Perez a , Talita Glaser b , Cecilia Villegas a , Henning Ulrich b* and Cristian Paz a*. </w:t>
      </w:r>
      <w:r w:rsidR="00A70C7B">
        <w:rPr>
          <w:rFonts w:asciiTheme="minorHAnsi" w:hAnsiTheme="minorHAnsi" w:cstheme="minorHAnsi"/>
          <w:sz w:val="18"/>
          <w:szCs w:val="18"/>
        </w:rPr>
        <w:t xml:space="preserve">(2022). </w:t>
      </w:r>
      <w:r w:rsidRPr="00AF748D">
        <w:rPr>
          <w:rFonts w:asciiTheme="minorHAnsi" w:hAnsiTheme="minorHAnsi" w:cstheme="minorHAnsi"/>
          <w:sz w:val="18"/>
          <w:szCs w:val="18"/>
        </w:rPr>
        <w:t xml:space="preserve">Cannabinoides and covid. Life Sciences </w:t>
      </w:r>
    </w:p>
    <w:p w14:paraId="07426144" w14:textId="77777777" w:rsidR="00AF748D" w:rsidRDefault="00AF748D" w:rsidP="008756E6">
      <w:pPr>
        <w:tabs>
          <w:tab w:val="left" w:pos="384"/>
        </w:tabs>
        <w:ind w:right="117"/>
        <w:rPr>
          <w:rFonts w:asciiTheme="minorHAnsi" w:hAnsiTheme="minorHAnsi" w:cstheme="minorHAnsi"/>
          <w:sz w:val="18"/>
          <w:szCs w:val="18"/>
        </w:rPr>
      </w:pPr>
      <w:r w:rsidRPr="00A70C7B">
        <w:rPr>
          <w:rFonts w:asciiTheme="minorHAnsi" w:hAnsiTheme="minorHAnsi" w:cstheme="minorHAnsi"/>
          <w:b/>
          <w:bCs/>
          <w:sz w:val="18"/>
          <w:szCs w:val="18"/>
        </w:rPr>
        <w:t>4.</w:t>
      </w:r>
      <w:r w:rsidRPr="00AF748D">
        <w:rPr>
          <w:rFonts w:asciiTheme="minorHAnsi" w:hAnsiTheme="minorHAnsi" w:cstheme="minorHAnsi"/>
          <w:sz w:val="18"/>
          <w:szCs w:val="18"/>
        </w:rPr>
        <w:t xml:space="preserve"> Villegas, C., Perez, R., Petiz, L. L., Glaser, T., Ulrich, H., &amp; Paz, C*. (2022). Ginkgolides and Huperzine A for complementary treatment of Alzheimer's disease. IUBMB life.</w:t>
      </w:r>
    </w:p>
    <w:p w14:paraId="6B765933" w14:textId="216DAB59" w:rsidR="00AF748D" w:rsidRDefault="00AF748D" w:rsidP="008756E6">
      <w:pPr>
        <w:tabs>
          <w:tab w:val="left" w:pos="384"/>
        </w:tabs>
        <w:ind w:right="117"/>
        <w:rPr>
          <w:rFonts w:asciiTheme="minorHAnsi" w:hAnsiTheme="minorHAnsi" w:cstheme="minorHAnsi"/>
          <w:sz w:val="18"/>
          <w:szCs w:val="18"/>
        </w:rPr>
      </w:pPr>
      <w:r w:rsidRPr="00AF748D">
        <w:rPr>
          <w:rFonts w:asciiTheme="minorHAnsi" w:hAnsiTheme="minorHAnsi" w:cstheme="minorHAnsi"/>
          <w:sz w:val="18"/>
          <w:szCs w:val="18"/>
        </w:rPr>
        <w:t xml:space="preserve"> </w:t>
      </w:r>
      <w:r w:rsidRPr="00A70C7B">
        <w:rPr>
          <w:rFonts w:asciiTheme="minorHAnsi" w:hAnsiTheme="minorHAnsi" w:cstheme="minorHAnsi"/>
          <w:b/>
          <w:bCs/>
          <w:sz w:val="18"/>
          <w:szCs w:val="18"/>
        </w:rPr>
        <w:t>3</w:t>
      </w:r>
      <w:r w:rsidRPr="00AF748D">
        <w:rPr>
          <w:rFonts w:asciiTheme="minorHAnsi" w:hAnsiTheme="minorHAnsi" w:cstheme="minorHAnsi"/>
          <w:sz w:val="18"/>
          <w:szCs w:val="18"/>
        </w:rPr>
        <w:t xml:space="preserve">. Yuliannis Lugones Ladrón de Guevara , Rebeca Pérez Collado, Andrés Morilla Guzmán MD, Ivette Espinosa Castaño y Odalys Blanco Hidalgo. (2022). </w:t>
      </w:r>
      <w:r w:rsidR="00A70C7B">
        <w:t>Effect Of Surfacen®, Pulmonary Surfactant, On The Antimicrobial Activity Of Cefotaxime And Amikacin</w:t>
      </w:r>
      <w:r w:rsidRPr="00AF748D">
        <w:rPr>
          <w:rFonts w:asciiTheme="minorHAnsi" w:hAnsiTheme="minorHAnsi" w:cstheme="minorHAnsi"/>
          <w:sz w:val="18"/>
          <w:szCs w:val="18"/>
        </w:rPr>
        <w:t xml:space="preserve">Revista Cubana de Investigaciones Biomédicas , 41. </w:t>
      </w:r>
    </w:p>
    <w:p w14:paraId="279BB860" w14:textId="77777777" w:rsidR="00AF748D" w:rsidRDefault="00AF748D" w:rsidP="008756E6">
      <w:pPr>
        <w:tabs>
          <w:tab w:val="left" w:pos="384"/>
        </w:tabs>
        <w:ind w:right="117"/>
        <w:rPr>
          <w:rFonts w:asciiTheme="minorHAnsi" w:hAnsiTheme="minorHAnsi" w:cstheme="minorHAnsi"/>
          <w:sz w:val="18"/>
          <w:szCs w:val="18"/>
        </w:rPr>
      </w:pPr>
      <w:r w:rsidRPr="00A70C7B">
        <w:rPr>
          <w:rFonts w:asciiTheme="minorHAnsi" w:hAnsiTheme="minorHAnsi" w:cstheme="minorHAnsi"/>
          <w:b/>
          <w:bCs/>
          <w:sz w:val="18"/>
          <w:szCs w:val="18"/>
        </w:rPr>
        <w:t>2</w:t>
      </w:r>
      <w:r w:rsidRPr="00AF748D">
        <w:rPr>
          <w:rFonts w:asciiTheme="minorHAnsi" w:hAnsiTheme="minorHAnsi" w:cstheme="minorHAnsi"/>
          <w:sz w:val="18"/>
          <w:szCs w:val="18"/>
        </w:rPr>
        <w:t xml:space="preserve">. Villegas, C., Perez, R., Sterner, O., González-Chavarría, I., &amp; Paz, C*. (2021). Curcuma as an adjuvant in colorectal cancer treatment. Life Sciences, 120043. </w:t>
      </w:r>
    </w:p>
    <w:p w14:paraId="57E6F3EF" w14:textId="3648F2E9" w:rsidR="00AE3E37" w:rsidRPr="00AF748D" w:rsidRDefault="00AF748D" w:rsidP="008756E6">
      <w:pPr>
        <w:tabs>
          <w:tab w:val="left" w:pos="384"/>
        </w:tabs>
        <w:ind w:right="117"/>
        <w:rPr>
          <w:rFonts w:asciiTheme="minorHAnsi" w:hAnsiTheme="minorHAnsi" w:cstheme="minorHAnsi"/>
          <w:sz w:val="18"/>
          <w:szCs w:val="18"/>
        </w:rPr>
      </w:pPr>
      <w:r w:rsidRPr="00A70C7B">
        <w:rPr>
          <w:rFonts w:asciiTheme="minorHAnsi" w:hAnsiTheme="minorHAnsi" w:cstheme="minorHAnsi"/>
          <w:b/>
          <w:bCs/>
          <w:sz w:val="18"/>
          <w:szCs w:val="18"/>
        </w:rPr>
        <w:t>1.</w:t>
      </w:r>
      <w:r w:rsidRPr="00AF748D">
        <w:rPr>
          <w:rFonts w:asciiTheme="minorHAnsi" w:hAnsiTheme="minorHAnsi" w:cstheme="minorHAnsi"/>
          <w:sz w:val="18"/>
          <w:szCs w:val="18"/>
        </w:rPr>
        <w:t xml:space="preserve"> Blanco O, Pérez R, Espinosa I, Lugones Y, Morilla A, Faure R (2016). Spreading sinetics of the exogenous porcine surfactant SURFACEN® mixed with drugs used in respiratory clinics. Biotecnología Aplicada, 33, 1, 1521-1525.</w:t>
      </w:r>
    </w:p>
    <w:p w14:paraId="5228F31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80275FA" w14:textId="77777777" w:rsidR="00AE3E37" w:rsidRDefault="00AE3E37">
      <w:pPr>
        <w:pStyle w:val="Textoindependiente"/>
        <w:rPr>
          <w:rFonts w:ascii="Calibri"/>
          <w:sz w:val="20"/>
        </w:rPr>
      </w:pPr>
    </w:p>
    <w:p w14:paraId="6174A945" w14:textId="77777777" w:rsidR="00AE3E37" w:rsidRDefault="003E77A2">
      <w:pPr>
        <w:pStyle w:val="Textoindependiente"/>
        <w:spacing w:line="40" w:lineRule="exact"/>
        <w:ind w:left="2202"/>
        <w:rPr>
          <w:rFonts w:ascii="Calibri"/>
          <w:sz w:val="4"/>
        </w:rPr>
      </w:pPr>
      <w:r>
        <w:rPr>
          <w:rFonts w:ascii="Arial" w:hAnsi="Arial" w:cs="Arial"/>
          <w:noProof/>
          <w:sz w:val="14"/>
          <w:szCs w:val="14"/>
        </w:rPr>
        <w:drawing>
          <wp:anchor distT="0" distB="0" distL="114300" distR="114300" simplePos="0" relativeHeight="251669504" behindDoc="0" locked="0" layoutInCell="1" allowOverlap="1" wp14:anchorId="548BE11E" wp14:editId="63A98E70">
            <wp:simplePos x="0" y="0"/>
            <wp:positionH relativeFrom="column">
              <wp:posOffset>5999277</wp:posOffset>
            </wp:positionH>
            <wp:positionV relativeFrom="paragraph">
              <wp:posOffset>123190</wp:posOffset>
            </wp:positionV>
            <wp:extent cx="808355" cy="679450"/>
            <wp:effectExtent l="0" t="0" r="0" b="6350"/>
            <wp:wrapTopAndBottom/>
            <wp:docPr id="3" name="Imagen 3"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8355" cy="679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2ED9">
        <w:rPr>
          <w:rFonts w:ascii="Calibri"/>
          <w:noProof/>
          <w:sz w:val="4"/>
        </w:rPr>
        <mc:AlternateContent>
          <mc:Choice Requires="wpg">
            <w:drawing>
              <wp:inline distT="0" distB="0" distL="0" distR="0" wp14:anchorId="2CB4AD74" wp14:editId="2A6F034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9F26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C273A5E" w14:textId="15250647" w:rsidR="00A70C7B" w:rsidRPr="003E77A2" w:rsidRDefault="00A70C7B" w:rsidP="003E77A2">
      <w:pPr>
        <w:spacing w:before="92"/>
        <w:ind w:right="4234"/>
        <w:rPr>
          <w:rFonts w:ascii="Arial"/>
        </w:rPr>
      </w:pPr>
      <w:r>
        <w:rPr>
          <w:noProof/>
        </w:rPr>
        <w:drawing>
          <wp:anchor distT="0" distB="0" distL="114300" distR="114300" simplePos="0" relativeHeight="251667456" behindDoc="0" locked="0" layoutInCell="1" allowOverlap="1" wp14:anchorId="2FC806E3" wp14:editId="4D8F4ACB">
            <wp:simplePos x="0" y="0"/>
            <wp:positionH relativeFrom="column">
              <wp:posOffset>154940</wp:posOffset>
            </wp:positionH>
            <wp:positionV relativeFrom="paragraph">
              <wp:posOffset>59055</wp:posOffset>
            </wp:positionV>
            <wp:extent cx="871855" cy="719455"/>
            <wp:effectExtent l="0" t="0" r="4445"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718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p>
    <w:p w14:paraId="43A4D898" w14:textId="1D80AADA" w:rsidR="00A70C7B" w:rsidRPr="00A70C7B" w:rsidRDefault="00A70C7B" w:rsidP="00A70C7B">
      <w:pPr>
        <w:jc w:val="both"/>
        <w:rPr>
          <w:rFonts w:ascii="Arial" w:hAnsi="Arial" w:cs="Arial"/>
          <w:b/>
          <w:bCs/>
          <w:sz w:val="14"/>
          <w:szCs w:val="14"/>
        </w:rPr>
      </w:pPr>
      <w:r w:rsidRPr="00A70C7B">
        <w:rPr>
          <w:rFonts w:ascii="Arial" w:hAnsi="Arial" w:cs="Arial"/>
          <w:sz w:val="14"/>
          <w:szCs w:val="14"/>
        </w:rPr>
        <w:t>Rebeca Pérez Collado es Licenciada en Química Farmacéutica de la Universidad de La Habana, Cuba. Ha cursado los cursos correspondientes a la maestría de Tecnología y Control de los Medicamentos y actualmente se encuentra cursando el doctorado en Biología Molecular y Genética de La Universidad de La Frontera, en Temuco, Chile. Como parte de la investigación del doctorado se encuentra en el Laboratorio de Productos Naturales y Descubrimiento de Fármacos donde realiza investigación en biomedicina, en la interfaz de la química y biología, con especial interés en el aislamiento, determinación estructural y desarrollo de compuestos bioactivos obtenidos desde diversas fuentes naturales y sintéticas.</w:t>
      </w:r>
    </w:p>
    <w:p w14:paraId="49DF7E9C" w14:textId="5BE922D1" w:rsidR="00AE3E37" w:rsidRDefault="00A9710C">
      <w:pPr>
        <w:spacing w:before="62"/>
        <w:ind w:left="4217" w:right="4235"/>
        <w:jc w:val="center"/>
        <w:rPr>
          <w:rFonts w:ascii="Arial"/>
          <w:sz w:val="14"/>
        </w:rPr>
      </w:pPr>
      <w:r>
        <w:rPr>
          <w:rFonts w:ascii="Arial"/>
          <w:sz w:val="14"/>
        </w:rPr>
        <w:t xml:space="preserve">Email: </w:t>
      </w:r>
      <w:hyperlink r:id="rId11" w:history="1">
        <w:r w:rsidR="00A70C7B" w:rsidRPr="001864B1">
          <w:rPr>
            <w:rStyle w:val="Hipervnculo"/>
            <w:rFonts w:ascii="Arial"/>
            <w:sz w:val="14"/>
          </w:rPr>
          <w:t>perezcolladorebeca@gmail.com</w:t>
        </w:r>
      </w:hyperlink>
    </w:p>
    <w:p w14:paraId="1E0904C9" w14:textId="77777777"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14:anchorId="67357158" wp14:editId="084A309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F38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B094BE4" w14:textId="77777777" w:rsidR="00AE3E37" w:rsidRDefault="00AE3E37">
      <w:pPr>
        <w:pStyle w:val="Textoindependiente"/>
        <w:rPr>
          <w:rFonts w:ascii="Arial"/>
          <w:sz w:val="20"/>
        </w:rPr>
      </w:pPr>
    </w:p>
    <w:p w14:paraId="0EB13E80" w14:textId="77777777" w:rsidR="00AE3E37" w:rsidRDefault="00AE3E37">
      <w:pPr>
        <w:pStyle w:val="Textoindependiente"/>
        <w:rPr>
          <w:rFonts w:ascii="Arial"/>
          <w:sz w:val="20"/>
        </w:rPr>
      </w:pPr>
    </w:p>
    <w:p w14:paraId="40B771B7" w14:textId="77777777" w:rsidR="00AE3E37" w:rsidRDefault="00AE3E37">
      <w:pPr>
        <w:pStyle w:val="Textoindependiente"/>
        <w:spacing w:before="7"/>
        <w:rPr>
          <w:rFonts w:ascii="Arial"/>
          <w:sz w:val="29"/>
        </w:rPr>
      </w:pPr>
    </w:p>
    <w:p w14:paraId="589262AE" w14:textId="77777777" w:rsidR="00AE3E37" w:rsidRDefault="00A9710C" w:rsidP="000534A1">
      <w:pPr>
        <w:spacing w:before="39"/>
        <w:ind w:left="100"/>
        <w:rPr>
          <w:rFonts w:ascii="Minion Pro"/>
          <w:b/>
          <w:sz w:val="20"/>
        </w:rPr>
      </w:pPr>
      <w:r w:rsidRPr="00B21A57">
        <w:rPr>
          <w:rFonts w:ascii="Minion Pro"/>
          <w:b/>
          <w:sz w:val="20"/>
        </w:rPr>
        <w:t>Notes/Comments:</w:t>
      </w:r>
    </w:p>
    <w:p w14:paraId="02E087F4" w14:textId="77777777" w:rsidR="00EA7D51" w:rsidRDefault="00EA7D51" w:rsidP="000534A1">
      <w:pPr>
        <w:spacing w:before="39"/>
        <w:ind w:left="100"/>
        <w:rPr>
          <w:rFonts w:ascii="Minion Pro"/>
          <w:b/>
          <w:sz w:val="20"/>
        </w:rPr>
      </w:pPr>
    </w:p>
    <w:p w14:paraId="7ACC4DD7" w14:textId="77777777" w:rsidR="00EA7D51" w:rsidRDefault="00EA7D51" w:rsidP="000534A1">
      <w:pPr>
        <w:spacing w:before="39"/>
        <w:ind w:left="100"/>
        <w:rPr>
          <w:rFonts w:ascii="Minion Pro"/>
          <w:b/>
          <w:sz w:val="20"/>
        </w:rPr>
      </w:pPr>
    </w:p>
    <w:p w14:paraId="0AD325C6" w14:textId="31FF7539"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E77A2">
        <w:rPr>
          <w:sz w:val="20"/>
          <w:szCs w:val="20"/>
          <w:lang w:val="en-NZ"/>
        </w:rPr>
        <w:t>Rebeca Perez Collado</w:t>
      </w:r>
      <w:r w:rsidRPr="00F35A62">
        <w:rPr>
          <w:sz w:val="20"/>
          <w:szCs w:val="20"/>
          <w:lang w:val="en-NZ"/>
        </w:rPr>
        <w:br/>
        <w:t>Contact number:</w:t>
      </w:r>
      <w:r w:rsidR="003E77A2">
        <w:rPr>
          <w:sz w:val="20"/>
          <w:szCs w:val="20"/>
          <w:lang w:val="en-NZ"/>
        </w:rPr>
        <w:t>+56993994049</w:t>
      </w:r>
      <w:r w:rsidRPr="00F35A62">
        <w:rPr>
          <w:sz w:val="20"/>
          <w:szCs w:val="20"/>
          <w:lang w:val="en-NZ"/>
        </w:rPr>
        <w:br/>
        <w:t>Twitter account:</w:t>
      </w:r>
      <w:r w:rsidR="003E77A2">
        <w:rPr>
          <w:sz w:val="20"/>
          <w:szCs w:val="20"/>
          <w:lang w:val="en-NZ"/>
        </w:rPr>
        <w:t xml:space="preserve"> </w:t>
      </w:r>
      <w:r w:rsidRPr="00F35A62">
        <w:rPr>
          <w:sz w:val="20"/>
          <w:szCs w:val="20"/>
          <w:lang w:val="en-NZ"/>
        </w:rPr>
        <w:br/>
        <w:t>Linked In account:</w:t>
      </w:r>
    </w:p>
    <w:p w14:paraId="615CE04A" w14:textId="69C5A913"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3E77A2">
        <w:rPr>
          <w:sz w:val="20"/>
          <w:szCs w:val="20"/>
          <w:lang w:val="en-NZ"/>
        </w:rPr>
        <w:t>neurociencia</w:t>
      </w:r>
      <w:r w:rsidRPr="00F35A62">
        <w:rPr>
          <w:sz w:val="20"/>
          <w:szCs w:val="20"/>
          <w:lang w:val="en-NZ"/>
        </w:rPr>
        <w:br/>
        <w:t>Category: (Poster presentation)</w:t>
      </w:r>
      <w:r w:rsidRPr="00F35A62">
        <w:rPr>
          <w:sz w:val="20"/>
          <w:szCs w:val="20"/>
          <w:lang w:val="en-NZ"/>
        </w:rPr>
        <w:br/>
      </w:r>
    </w:p>
    <w:p w14:paraId="43155C09"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578A75A"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E5BAF" w14:textId="77777777" w:rsidR="00782B55" w:rsidRDefault="00782B55">
      <w:r>
        <w:separator/>
      </w:r>
    </w:p>
  </w:endnote>
  <w:endnote w:type="continuationSeparator" w:id="0">
    <w:p w14:paraId="3088C173" w14:textId="77777777" w:rsidR="00782B55" w:rsidRDefault="00782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234B"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251654656" behindDoc="1" locked="0" layoutInCell="1" allowOverlap="1" wp14:anchorId="02F7774C" wp14:editId="6AA863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4BE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9F5A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7774C"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084BE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9F5AA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58F9E9CA" wp14:editId="068AE1E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548C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58FC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9E9CA" id="Text Box 2" o:spid="_x0000_s1028" type="#_x0000_t202" style="position:absolute;margin-left:252.1pt;margin-top:799.05pt;width:91.9pt;height:24.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69548C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158FC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14:anchorId="1908DD2B" wp14:editId="04197F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9F9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7D37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8DD2B" id="Text Box 1" o:spid="_x0000_s1029"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119F9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C7D37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E73F2" w14:textId="77777777" w:rsidR="00782B55" w:rsidRDefault="00782B55">
      <w:r>
        <w:separator/>
      </w:r>
    </w:p>
  </w:footnote>
  <w:footnote w:type="continuationSeparator" w:id="0">
    <w:p w14:paraId="6DF4E49C" w14:textId="77777777" w:rsidR="00782B55" w:rsidRDefault="00782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5100691">
    <w:abstractNumId w:val="0"/>
  </w:num>
  <w:num w:numId="2" w16cid:durableId="1861778361">
    <w:abstractNumId w:val="1"/>
  </w:num>
  <w:num w:numId="3" w16cid:durableId="167433459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3E77A2"/>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82B55"/>
    <w:rsid w:val="00873DF0"/>
    <w:rsid w:val="008756E6"/>
    <w:rsid w:val="00897EC5"/>
    <w:rsid w:val="008A0763"/>
    <w:rsid w:val="008E5477"/>
    <w:rsid w:val="0097616C"/>
    <w:rsid w:val="009B2D44"/>
    <w:rsid w:val="00A07E82"/>
    <w:rsid w:val="00A52075"/>
    <w:rsid w:val="00A70C7B"/>
    <w:rsid w:val="00A9710C"/>
    <w:rsid w:val="00AE3E37"/>
    <w:rsid w:val="00AF748D"/>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E5198"/>
  <w15:docId w15:val="{3D45ED07-99B5-46A4-BEC1-9ADC7A40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A70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erezcolladorebeca@g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724</Words>
  <Characters>3987</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Rebeca Perez Collado</cp:lastModifiedBy>
  <cp:revision>4</cp:revision>
  <dcterms:created xsi:type="dcterms:W3CDTF">2021-11-26T09:13:00Z</dcterms:created>
  <dcterms:modified xsi:type="dcterms:W3CDTF">2023-01-20T15:47:00Z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